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F162FD" w:rsidRPr="00F162FD" w:rsidRDefault="00F844D7"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 xml:space="preserve">2024-2027 წლების ქვეყნის ძირითადი მონაცემებისა და მიმართულებების </w:t>
      </w:r>
      <w:r w:rsidR="00DB346B">
        <w:rPr>
          <w:rFonts w:ascii="Sylfaen" w:hAnsi="Sylfaen" w:cstheme="minorHAnsi"/>
          <w:b/>
          <w:sz w:val="20"/>
          <w:szCs w:val="20"/>
          <w:lang w:val="ka-GE"/>
        </w:rPr>
        <w:t>დოკუმენტის პირველად ვარიანტზე</w:t>
      </w:r>
      <w:r>
        <w:rPr>
          <w:rFonts w:ascii="Sylfaen" w:hAnsi="Sylfaen" w:cstheme="minorHAnsi"/>
          <w:b/>
          <w:sz w:val="20"/>
          <w:szCs w:val="20"/>
          <w:lang w:val="ka-GE"/>
        </w:rPr>
        <w:t xml:space="preserve"> თანდართული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bookmarkStart w:id="0" w:name="_GoBack"/>
      <w:bookmarkEnd w:id="0"/>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w:t>
      </w:r>
      <w:r w:rsidR="00F844D7">
        <w:rPr>
          <w:rFonts w:ascii="Sylfaen" w:hAnsi="Sylfaen" w:cstheme="minorHAnsi"/>
          <w:b/>
          <w:sz w:val="20"/>
          <w:szCs w:val="20"/>
          <w:lang w:val="ka-GE"/>
        </w:rPr>
        <w:t>3</w:t>
      </w:r>
      <w:r w:rsidRPr="00F162FD">
        <w:rPr>
          <w:rFonts w:ascii="Sylfaen" w:hAnsi="Sylfaen" w:cstheme="minorHAnsi"/>
          <w:b/>
          <w:sz w:val="20"/>
          <w:szCs w:val="20"/>
          <w:lang w:val="ka-GE"/>
        </w:rPr>
        <w:t xml:space="preserve"> წ</w:t>
      </w:r>
      <w:r w:rsidR="0073665F">
        <w:rPr>
          <w:rFonts w:ascii="Sylfaen" w:hAnsi="Sylfaen" w:cstheme="minorHAnsi"/>
          <w:b/>
          <w:sz w:val="20"/>
          <w:szCs w:val="20"/>
          <w:lang w:val="ka-GE"/>
        </w:rPr>
        <w:t xml:space="preserve">ლის </w:t>
      </w:r>
      <w:r w:rsidR="00F844D7">
        <w:rPr>
          <w:rFonts w:ascii="Sylfaen" w:hAnsi="Sylfaen" w:cstheme="minorHAnsi"/>
          <w:b/>
          <w:sz w:val="20"/>
          <w:szCs w:val="20"/>
          <w:lang w:val="ka-GE"/>
        </w:rPr>
        <w:t>ივლისი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1" w:name="_Toc8911835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1"/>
    </w:p>
    <w:p w:rsidR="00D968E5" w:rsidRPr="00C9780C" w:rsidRDefault="00D968E5" w:rsidP="007D46C3">
      <w:pPr>
        <w:pStyle w:val="NoSpacing"/>
        <w:jc w:val="both"/>
        <w:rPr>
          <w:rFonts w:ascii="Sylfaen" w:hAnsi="Sylfaen"/>
          <w:lang w:val="ka-GE"/>
        </w:rPr>
      </w:pPr>
    </w:p>
    <w:p w:rsidR="00CD7313" w:rsidRDefault="00CD7313" w:rsidP="00EF56BC">
      <w:pPr>
        <w:pStyle w:val="NoSpacing"/>
        <w:spacing w:line="276" w:lineRule="auto"/>
        <w:ind w:firstLine="720"/>
        <w:jc w:val="both"/>
        <w:rPr>
          <w:rFonts w:ascii="Sylfaen" w:hAnsi="Sylfaen"/>
          <w:lang w:val="ka-GE"/>
        </w:rPr>
      </w:pPr>
    </w:p>
    <w:p w:rsidR="00F844D7" w:rsidRPr="005435CF" w:rsidRDefault="00F844D7" w:rsidP="00F844D7">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წინამდებარე ინფორმაცია მომზადდა „2024-2027 წლების ძირითადი მონაცემებისა და მიმართულებების დოკუმენტთან“ ერთად და წარმოადგენს 2022 წლის ბოლოს 2023 წლის სახელმწიფო ბიუჯეტის კანონზე თანდართული „202</w:t>
      </w:r>
      <w:r w:rsidRPr="005435CF">
        <w:rPr>
          <w:rFonts w:ascii="Sylfaen" w:hAnsi="Sylfaen"/>
          <w:color w:val="000000" w:themeColor="text1"/>
        </w:rPr>
        <w:t>3</w:t>
      </w:r>
      <w:r w:rsidRPr="005435CF">
        <w:rPr>
          <w:rFonts w:ascii="Sylfaen" w:hAnsi="Sylfaen"/>
          <w:color w:val="000000" w:themeColor="text1"/>
          <w:lang w:val="ka-GE"/>
        </w:rPr>
        <w:t>-202</w:t>
      </w:r>
      <w:r w:rsidRPr="005435CF">
        <w:rPr>
          <w:rFonts w:ascii="Sylfaen" w:hAnsi="Sylfaen"/>
          <w:color w:val="000000" w:themeColor="text1"/>
        </w:rPr>
        <w:t>6</w:t>
      </w:r>
      <w:r w:rsidRPr="005435CF">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საშუალოვადიანი ეკონომიკური და ფისკალური პარამეტრების პროგნოზებთან შედარებით ანალიზს.</w:t>
      </w:r>
    </w:p>
    <w:p w:rsidR="00F844D7" w:rsidRPr="005435CF" w:rsidRDefault="00F844D7" w:rsidP="00F844D7">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2022 წელს ეკონომიკა მოსალოდნელ 6%-ზე მეტად გაიზარდა და 2021 წლის მსგავსად  (10.5%) მთლიანი შიდა პროდუქტის ზრდამ კვლავ ორნიშნა მაჩვენებელს მიაღწია და 10.1 პროცენტზე დაფიქსირდა. 2022 წლის თებერვალში რუსეთის უკრაინაში შეჭრისა და სრულმასშტაბიანი ომის დაწყების შემდგომ, საქართველოში გაჩნდა რისკები რიგი უარყოფითი შოკების რეალიზებისა, თუმცა აღნიშნული რისკების ნაწილობრივი რეალიზაციის მიუხედავად წლის დასაწყისიდან ადგილი ჰქონდა გაუმჯობესებულ მაკროეკონომიკურ გარემოსა და რეალური მთლიანი შიდა პროდუქტის სწრაფ (</w:t>
      </w:r>
      <w:r w:rsidRPr="005435CF">
        <w:rPr>
          <w:rFonts w:ascii="Sylfaen" w:hAnsi="Sylfaen"/>
          <w:color w:val="000000" w:themeColor="text1"/>
        </w:rPr>
        <w:t>V-</w:t>
      </w:r>
      <w:r w:rsidRPr="005435CF">
        <w:rPr>
          <w:rFonts w:ascii="Sylfaen" w:hAnsi="Sylfaen"/>
          <w:color w:val="000000" w:themeColor="text1"/>
          <w:lang w:val="ka-GE"/>
        </w:rPr>
        <w:t xml:space="preserve">სებურ) აღდგენას, რის ფონზეც პროგნოზები შეიცვალა. 2022 წლის ეკონომიკური ზრდა 5.1 პროცენტული პუნქტით აღემატება 2019 წლის ანალოგიურ მაჩვენებელს. </w:t>
      </w:r>
    </w:p>
    <w:p w:rsidR="00F844D7" w:rsidRPr="005435CF" w:rsidRDefault="00F844D7" w:rsidP="00F844D7">
      <w:pPr>
        <w:pStyle w:val="NoSpacing"/>
        <w:tabs>
          <w:tab w:val="left" w:pos="709"/>
        </w:tabs>
        <w:spacing w:line="276" w:lineRule="auto"/>
        <w:ind w:firstLine="709"/>
        <w:jc w:val="both"/>
        <w:rPr>
          <w:rFonts w:ascii="Sylfaen" w:hAnsi="Sylfaen"/>
          <w:color w:val="000000" w:themeColor="text1"/>
          <w:lang w:val="ka-GE"/>
        </w:rPr>
      </w:pPr>
      <w:r w:rsidRPr="005435CF">
        <w:rPr>
          <w:rFonts w:ascii="Sylfaen" w:hAnsi="Sylfaen"/>
          <w:color w:val="000000" w:themeColor="text1"/>
          <w:lang w:val="ka-GE"/>
        </w:rPr>
        <w:t>აღსანიშნავია, რომ რუსეთ-უკრაინის ომის ფონზე, უარყოფითი მაკროეკონომიკური რისკების ნაწილობრივი რეალიზების პარალელურად, მნიშვნელოვნად გამოცოცხლდა როგორც საშინაო, ისე - საგარეო სექტორები. საგარეო სექტორის გამოცოცხლება აისახა როგორც საქონლი</w:t>
      </w:r>
      <w:r>
        <w:rPr>
          <w:rFonts w:ascii="Sylfaen" w:hAnsi="Sylfaen"/>
          <w:color w:val="000000" w:themeColor="text1"/>
          <w:lang w:val="ka-GE"/>
        </w:rPr>
        <w:t>თ</w:t>
      </w:r>
      <w:r w:rsidRPr="005435CF">
        <w:rPr>
          <w:rFonts w:ascii="Sylfaen" w:hAnsi="Sylfaen"/>
          <w:color w:val="000000" w:themeColor="text1"/>
          <w:lang w:val="ka-GE"/>
        </w:rPr>
        <w:t>ა და მომსახურები</w:t>
      </w:r>
      <w:r>
        <w:rPr>
          <w:rFonts w:ascii="Sylfaen" w:hAnsi="Sylfaen"/>
          <w:color w:val="000000" w:themeColor="text1"/>
          <w:lang w:val="ka-GE"/>
        </w:rPr>
        <w:t>თ ვაჭრობის</w:t>
      </w:r>
      <w:r w:rsidRPr="005435CF">
        <w:rPr>
          <w:rFonts w:ascii="Sylfaen" w:hAnsi="Sylfaen"/>
          <w:color w:val="000000" w:themeColor="text1"/>
          <w:lang w:val="ka-GE"/>
        </w:rPr>
        <w:t>,  ისე - ფულადი გზავნილების ზრდით, განსაკუთრებით აღსანიშნავია ტურიზმის სექტორის სწრაფი ტემპებით აღდგენა, საიდანაც მიღებულმა შემოსავალმა 7.6%-ით გადააჭარბა 2019 წლის მაჩვენებელს.  გააქტიურებული საგარეო სექტორის პარალელურად მნიშვნელოვანი გამოცოცხლება დაფიქსირდა შიდა ინვესტიციების ზრდის მიმართულებითაც, რომელთა შედეგადაც 2022</w:t>
      </w:r>
      <w:r w:rsidRPr="005435CF">
        <w:rPr>
          <w:rFonts w:ascii="Sylfaen" w:hAnsi="Sylfaen"/>
          <w:color w:val="000000" w:themeColor="text1"/>
        </w:rPr>
        <w:t xml:space="preserve"> </w:t>
      </w:r>
      <w:r w:rsidRPr="005435CF">
        <w:rPr>
          <w:rFonts w:ascii="Sylfaen" w:hAnsi="Sylfaen"/>
          <w:color w:val="000000" w:themeColor="text1"/>
          <w:lang w:val="ka-GE"/>
        </w:rPr>
        <w:t xml:space="preserve">წელს ეკონომიკურმა  ზრდამ 10.1 პროცენტს მიაღწია. </w:t>
      </w:r>
    </w:p>
    <w:p w:rsidR="00F844D7" w:rsidRPr="005435CF" w:rsidRDefault="00F844D7" w:rsidP="00F844D7">
      <w:pPr>
        <w:pStyle w:val="NoSpacing"/>
        <w:tabs>
          <w:tab w:val="left" w:pos="709"/>
        </w:tabs>
        <w:spacing w:line="276" w:lineRule="auto"/>
        <w:ind w:firstLine="709"/>
        <w:jc w:val="both"/>
        <w:rPr>
          <w:rFonts w:ascii="Sylfaen" w:hAnsi="Sylfaen"/>
          <w:color w:val="000000" w:themeColor="text1"/>
          <w:lang w:val="ka-GE"/>
        </w:rPr>
      </w:pPr>
      <w:r w:rsidRPr="005435CF">
        <w:rPr>
          <w:rFonts w:ascii="Sylfaen" w:hAnsi="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კვარტალში ეკონომიკურმა ზრდამ 7.7 პროცენტი შეადგინა, ხოლო პირველი 5 თვის საშუალო ეკონომიკური ზრდა 7.5 პროცენტზე დაფიქსირდა. </w:t>
      </w:r>
      <w:r w:rsidRPr="005435CF">
        <w:rPr>
          <w:rFonts w:ascii="Sylfaen" w:hAnsi="Sylfaen"/>
          <w:color w:val="000000" w:themeColor="text1"/>
        </w:rPr>
        <w:t xml:space="preserve">2023-2026 </w:t>
      </w:r>
      <w:r w:rsidRPr="005435CF">
        <w:rPr>
          <w:rFonts w:ascii="Sylfaen" w:hAnsi="Sylfaen"/>
          <w:color w:val="000000" w:themeColor="text1"/>
          <w:lang w:val="ka-GE"/>
        </w:rPr>
        <w:t>წლების ძირითადი მაკროეკონომიკური პარამეტრების წინასწარ პროგნოზებში 2023 წლის ეკონომიკური ზრდის პროგნოზი 5.0 პროცენტს შეადგენდა, 2024-2027 წლების პროგნოზების მიხედვით კი 2023 წელს მოსალოდნელია 5.4 პროცენტიანი ეკონომიკური ზრდა, თუმცა პირველი 5 თვის მონაცემებით ეკონომიკა მოსალოდნელზე უფრო მაღალი მაჩვენებლით იზრდება. რაც შეეხება 2024 წლის და საშუალოვადიან პროგნოზებს, ეკონომიკური ზრდის საპროგნოზო მაჩვენებელი 5.0 პროცენტზეა. საბაზისო სცენართან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ან უარყოფითად.</w:t>
      </w:r>
    </w:p>
    <w:p w:rsidR="00F844D7" w:rsidRPr="005435CF" w:rsidRDefault="00F844D7" w:rsidP="00F844D7">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წარმოდგენილ ცხრილებში 2024-2027 წლების ძირითადი მიმართულებებით გათვალისწინებული პროგნოზები შედარებულია 2022 წლის დეკემბერში წარმოდგენილ 2023 წლის სახელმწიფო ბიუჯეტის კანონზე თანდართულ ცხრილებთან. რუსეთის მიერ უკრაინაში შეჭრით გამოწვეული საომარი მდგომარეობის გათვალისწინებით და მსოფლიოში მიმდინარე ვითარებიდან გამომდინარე კვლავ არ არის მკაფიო 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w:t>
      </w:r>
      <w:r w:rsidRPr="005435CF">
        <w:rPr>
          <w:rFonts w:ascii="Sylfaen" w:hAnsi="Sylfaen"/>
          <w:color w:val="000000" w:themeColor="text1"/>
          <w:lang w:val="ka-GE"/>
        </w:rPr>
        <w:lastRenderedPageBreak/>
        <w:t>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2023 წლის არსებულ (იანვარ-მაისის) ეკონომიკური განვითარების ტენდენციებში შეინიშნება ტურიზმი</w:t>
      </w:r>
      <w:r w:rsidRPr="005435CF">
        <w:rPr>
          <w:rFonts w:ascii="Sylfaen" w:hAnsi="Sylfaen"/>
          <w:color w:val="000000" w:themeColor="text1"/>
        </w:rPr>
        <w:t>დან</w:t>
      </w:r>
      <w:r w:rsidRPr="005435CF">
        <w:rPr>
          <w:rFonts w:ascii="Sylfaen" w:hAnsi="Sylfaen"/>
          <w:color w:val="000000" w:themeColor="text1"/>
          <w:lang w:val="ka-GE"/>
        </w:rPr>
        <w:t xml:space="preserve"> და გზავნილებიდან მოსალოდნელზე მაღალი შემოდინებები და ეკონომიკური ზრდის დაგეგმილზე კიდევ უფრო მეტი პოტენციალი. არსებული ფაქტორების გათვალისწინებით, 2023 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კვლავ 5.0 პროცენტის ფარგლებშია წარმოდგენილი, 2022 წლის დეკემბერში წარმოდგენილი პროგნოზის მსგავსად. ამასთან, გლობალურად მიმდინარე სხვადასხვა მოვლენების ფონზე და მიმდინარე წლის პირველი კვარტლის ფაქტობრივ მონაცემებზე დაყრდნობით შემცირებულია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F844D7" w:rsidRPr="00CB74AC" w:rsidRDefault="00F844D7" w:rsidP="00F844D7">
      <w:pPr>
        <w:pStyle w:val="NoSpacing"/>
        <w:spacing w:line="276" w:lineRule="auto"/>
        <w:ind w:firstLine="720"/>
        <w:jc w:val="both"/>
        <w:rPr>
          <w:rFonts w:ascii="Sylfaen" w:hAnsi="Sylfaen"/>
          <w:color w:val="000000" w:themeColor="text1"/>
          <w:lang w:val="ka-GE"/>
        </w:rPr>
      </w:pPr>
    </w:p>
    <w:p w:rsidR="00F844D7" w:rsidRPr="00C9780C" w:rsidRDefault="00F844D7" w:rsidP="00F844D7">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w:t>
      </w:r>
      <w:proofErr w:type="gramStart"/>
      <w:r w:rsidRPr="00E94AC6">
        <w:rPr>
          <w:rFonts w:ascii="Sylfaen" w:eastAsia="Times New Roman" w:hAnsi="Sylfaen" w:cs="Calibri"/>
          <w:b/>
          <w:bCs/>
          <w:color w:val="000000"/>
          <w:sz w:val="20"/>
          <w:szCs w:val="20"/>
        </w:rPr>
        <w:t>ძითითადი</w:t>
      </w:r>
      <w:proofErr w:type="gramEnd"/>
      <w:r w:rsidRPr="00E94AC6">
        <w:rPr>
          <w:rFonts w:ascii="Sylfaen" w:eastAsia="Times New Roman" w:hAnsi="Sylfaen" w:cs="Calibri"/>
          <w:b/>
          <w:bCs/>
          <w:color w:val="000000"/>
          <w:sz w:val="20"/>
          <w:szCs w:val="20"/>
        </w:rPr>
        <w:t xml:space="preserve">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4318"/>
        <w:gridCol w:w="1248"/>
        <w:gridCol w:w="1407"/>
        <w:gridCol w:w="841"/>
        <w:gridCol w:w="841"/>
        <w:gridCol w:w="841"/>
        <w:gridCol w:w="841"/>
      </w:tblGrid>
      <w:tr w:rsidR="00F844D7" w:rsidRPr="00C9780C" w:rsidTr="00DC424F">
        <w:trPr>
          <w:trHeight w:val="119"/>
          <w:tblHeader/>
        </w:trPr>
        <w:tc>
          <w:tcPr>
            <w:tcW w:w="2088"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603"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680"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07"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07"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07"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407" w:type="pct"/>
          </w:tcPr>
          <w:p w:rsidR="00F844D7" w:rsidRDefault="00F844D7" w:rsidP="004146A8">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r>
      <w:tr w:rsidR="00F844D7" w:rsidRPr="00C9780C" w:rsidTr="00DC424F">
        <w:trPr>
          <w:trHeight w:val="119"/>
          <w:tblHeader/>
        </w:trPr>
        <w:tc>
          <w:tcPr>
            <w:tcW w:w="2088"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03"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680" w:type="pct"/>
            <w:shd w:val="clear" w:color="auto" w:fill="auto"/>
            <w:noWrap/>
            <w:vAlign w:val="bottom"/>
            <w:hideMark/>
          </w:tcPr>
          <w:p w:rsidR="00F844D7" w:rsidRPr="00D225FA" w:rsidRDefault="00F844D7" w:rsidP="004146A8">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407"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vAlign w:val="bottom"/>
          </w:tcPr>
          <w:p w:rsidR="00F844D7" w:rsidRPr="00C9780C" w:rsidRDefault="00F844D7" w:rsidP="004146A8">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603"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80"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tcPr>
          <w:p w:rsidR="00F844D7" w:rsidRPr="00C9780C" w:rsidRDefault="00F844D7" w:rsidP="004146A8">
            <w:pPr>
              <w:spacing w:after="0" w:line="240" w:lineRule="auto"/>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573B92" w:rsidRDefault="00F844D7" w:rsidP="004146A8">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10.0</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c>
          <w:tcPr>
            <w:tcW w:w="407" w:type="pct"/>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573B92" w:rsidRDefault="00F844D7" w:rsidP="004146A8">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5</w:t>
            </w:r>
            <w:r w:rsidRPr="00CC4E93">
              <w:rPr>
                <w:rFonts w:ascii="Sylfaen" w:eastAsia="Times New Roman" w:hAnsi="Sylfaen" w:cs="Calibri"/>
                <w:color w:val="000000"/>
                <w:sz w:val="18"/>
              </w:rPr>
              <w:t>.0%</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07" w:type="pct"/>
            <w:shd w:val="clear" w:color="auto" w:fill="auto"/>
            <w:noWrap/>
            <w:vAlign w:val="bottom"/>
            <w:hideMark/>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573B92" w:rsidRDefault="00F844D7" w:rsidP="004146A8">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10.6%</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6</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11.4%</w:t>
            </w: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1.8</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1.8%</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lang w:val="ka-GE"/>
              </w:rPr>
            </w:pPr>
          </w:p>
        </w:tc>
      </w:tr>
      <w:tr w:rsidR="00F844D7" w:rsidRPr="00C9780C" w:rsidTr="00DC424F">
        <w:trPr>
          <w:trHeight w:val="119"/>
        </w:trPr>
        <w:tc>
          <w:tcPr>
            <w:tcW w:w="2088" w:type="pct"/>
            <w:shd w:val="clear" w:color="auto" w:fill="auto"/>
            <w:noWrap/>
            <w:vAlign w:val="bottom"/>
            <w:hideMark/>
          </w:tcPr>
          <w:p w:rsidR="00F844D7" w:rsidRPr="00542BAD" w:rsidRDefault="00F844D7" w:rsidP="004146A8">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573B92" w:rsidRDefault="00F844D7" w:rsidP="004146A8">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7.2%</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11</w:t>
            </w:r>
            <w:r w:rsidRPr="00CC4E93">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585DDB">
              <w:rPr>
                <w:rFonts w:ascii="Sylfaen" w:eastAsia="Times New Roman" w:hAnsi="Sylfaen" w:cs="Calibri"/>
                <w:color w:val="000000"/>
                <w:sz w:val="18"/>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tcPr>
          <w:p w:rsidR="00F844D7" w:rsidRPr="00D225FA" w:rsidRDefault="00F844D7" w:rsidP="004146A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8.8%</w:t>
            </w:r>
          </w:p>
        </w:tc>
      </w:tr>
      <w:tr w:rsidR="00F844D7" w:rsidRPr="00C9780C" w:rsidTr="00DC424F">
        <w:trPr>
          <w:trHeight w:val="119"/>
        </w:trPr>
        <w:tc>
          <w:tcPr>
            <w:tcW w:w="2088" w:type="pct"/>
            <w:shd w:val="clear" w:color="auto" w:fill="auto"/>
            <w:noWrap/>
            <w:vAlign w:val="bottom"/>
            <w:hideMark/>
          </w:tcPr>
          <w:p w:rsidR="00F844D7" w:rsidRPr="00C9780C" w:rsidRDefault="00F844D7" w:rsidP="004146A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CC4E93"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F844D7" w:rsidRPr="00092F2E" w:rsidRDefault="00F844D7" w:rsidP="004146A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2.1%</w:t>
            </w:r>
          </w:p>
        </w:tc>
        <w:tc>
          <w:tcPr>
            <w:tcW w:w="407" w:type="pct"/>
          </w:tcPr>
          <w:p w:rsidR="00F844D7" w:rsidRPr="00CC4E93" w:rsidRDefault="00F844D7" w:rsidP="004146A8">
            <w:pPr>
              <w:spacing w:after="0" w:line="240" w:lineRule="auto"/>
              <w:jc w:val="center"/>
              <w:rPr>
                <w:rFonts w:ascii="Sylfaen" w:eastAsia="Times New Roman" w:hAnsi="Sylfaen" w:cs="Calibri"/>
                <w:color w:val="000000"/>
                <w:sz w:val="18"/>
              </w:rPr>
            </w:pPr>
          </w:p>
        </w:tc>
      </w:tr>
    </w:tbl>
    <w:p w:rsidR="00F844D7" w:rsidRPr="00CD7DD1" w:rsidRDefault="00F844D7" w:rsidP="00F844D7">
      <w:pPr>
        <w:pStyle w:val="NoSpacing"/>
        <w:spacing w:line="276" w:lineRule="auto"/>
        <w:ind w:firstLine="720"/>
        <w:jc w:val="both"/>
        <w:rPr>
          <w:rFonts w:ascii="Sylfaen" w:hAnsi="Sylfaen"/>
          <w:color w:val="000000" w:themeColor="text1"/>
          <w:sz w:val="6"/>
          <w:highlight w:val="red"/>
          <w:lang w:val="ka-GE"/>
        </w:rPr>
      </w:pPr>
    </w:p>
    <w:p w:rsidR="00F844D7" w:rsidRDefault="00F844D7" w:rsidP="00F844D7">
      <w:pPr>
        <w:pStyle w:val="NoSpacing"/>
        <w:spacing w:line="276" w:lineRule="auto"/>
        <w:ind w:firstLine="720"/>
        <w:jc w:val="both"/>
        <w:rPr>
          <w:rFonts w:ascii="Sylfaen" w:hAnsi="Sylfaen"/>
          <w:color w:val="000000" w:themeColor="text1"/>
          <w:lang w:val="ka-GE"/>
        </w:rPr>
      </w:pPr>
    </w:p>
    <w:p w:rsidR="00F844D7" w:rsidRPr="00E94AC6" w:rsidRDefault="00F844D7" w:rsidP="00F844D7">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w:t>
      </w:r>
      <w:r>
        <w:rPr>
          <w:rFonts w:ascii="Sylfaen" w:hAnsi="Sylfaen"/>
          <w:color w:val="000000" w:themeColor="text1"/>
          <w:lang w:val="ka-GE"/>
        </w:rPr>
        <w:t>2</w:t>
      </w:r>
      <w:r w:rsidRPr="00E94AC6">
        <w:rPr>
          <w:rFonts w:ascii="Sylfaen" w:hAnsi="Sylfaen"/>
          <w:color w:val="000000" w:themeColor="text1"/>
          <w:lang w:val="ka-GE"/>
        </w:rPr>
        <w:t xml:space="preserve"> წელს ეკონომიკური ზრდა </w:t>
      </w:r>
      <w:r>
        <w:rPr>
          <w:rFonts w:ascii="Sylfaen" w:hAnsi="Sylfaen"/>
          <w:color w:val="000000" w:themeColor="text1"/>
          <w:lang w:val="ka-GE"/>
        </w:rPr>
        <w:t xml:space="preserve">როგორც თავდაპირველ პროგნოზზე, ასევე ბოლო ცვლილების შედეგად </w:t>
      </w:r>
      <w:r w:rsidRPr="00E94AC6">
        <w:rPr>
          <w:rFonts w:ascii="Sylfaen" w:hAnsi="Sylfaen"/>
          <w:color w:val="000000" w:themeColor="text1"/>
          <w:lang w:val="ka-GE"/>
        </w:rPr>
        <w:t>ნავარაუდევზე მაღალი აღმოჩნდა</w:t>
      </w:r>
      <w:r>
        <w:rPr>
          <w:rFonts w:ascii="Sylfaen" w:hAnsi="Sylfaen"/>
          <w:color w:val="000000" w:themeColor="text1"/>
          <w:lang w:val="ka-GE"/>
        </w:rPr>
        <w:t xml:space="preserve"> (0.1 პროცენტული პუნქტით)</w:t>
      </w:r>
      <w:r w:rsidRPr="00E94AC6">
        <w:rPr>
          <w:rFonts w:ascii="Sylfaen" w:hAnsi="Sylfaen"/>
          <w:color w:val="000000" w:themeColor="text1"/>
          <w:lang w:val="ka-GE"/>
        </w:rPr>
        <w:t xml:space="preserve">,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შემდგ</w:t>
      </w:r>
      <w:r>
        <w:rPr>
          <w:rFonts w:ascii="Sylfaen" w:hAnsi="Sylfaen"/>
          <w:color w:val="000000" w:themeColor="text1"/>
          <w:lang w:val="ka-GE"/>
        </w:rPr>
        <w:t>ომ</w:t>
      </w:r>
      <w:r w:rsidRPr="00E94AC6">
        <w:rPr>
          <w:rFonts w:ascii="Sylfaen" w:hAnsi="Sylfaen"/>
          <w:color w:val="000000" w:themeColor="text1"/>
          <w:lang w:val="ka-GE"/>
        </w:rPr>
        <w:t xml:space="preserve">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202</w:t>
      </w:r>
      <w:r>
        <w:rPr>
          <w:rFonts w:ascii="Sylfaen" w:hAnsi="Sylfaen"/>
          <w:color w:val="000000" w:themeColor="text1"/>
          <w:lang w:val="ka-GE"/>
        </w:rPr>
        <w:t>3</w:t>
      </w:r>
      <w:r w:rsidRPr="00E94AC6">
        <w:rPr>
          <w:rFonts w:ascii="Sylfaen" w:hAnsi="Sylfaen"/>
          <w:color w:val="000000" w:themeColor="text1"/>
          <w:lang w:val="ka-GE"/>
        </w:rPr>
        <w:t xml:space="preserve">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lang w:val="ka-GE"/>
        </w:rPr>
        <w:t>5.4</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lang w:val="ka-GE"/>
        </w:rPr>
        <w:t>კვარტლის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F844D7" w:rsidRDefault="00F844D7" w:rsidP="00F844D7">
      <w:pPr>
        <w:pStyle w:val="NoSpacing"/>
        <w:spacing w:line="276" w:lineRule="auto"/>
        <w:ind w:firstLine="720"/>
        <w:jc w:val="both"/>
        <w:rPr>
          <w:rFonts w:ascii="Sylfaen" w:hAnsi="Sylfaen"/>
          <w:color w:val="000000" w:themeColor="text1"/>
          <w:lang w:val="ka-GE"/>
        </w:rPr>
      </w:pPr>
      <w:r>
        <w:rPr>
          <w:rFonts w:ascii="Sylfaen" w:hAnsi="Sylfaen"/>
          <w:color w:val="000000" w:themeColor="text1"/>
          <w:lang w:val="ka-GE"/>
        </w:rPr>
        <w:t>შემცირებულია</w:t>
      </w:r>
      <w:r w:rsidRPr="00E94AC6">
        <w:rPr>
          <w:rFonts w:ascii="Sylfaen" w:hAnsi="Sylfaen"/>
          <w:color w:val="000000" w:themeColor="text1"/>
          <w:lang w:val="ka-GE"/>
        </w:rPr>
        <w:t xml:space="preserve"> მშპ-ს დეფლატორის როგორც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w:t>
      </w:r>
      <w:r>
        <w:rPr>
          <w:rFonts w:ascii="Sylfaen" w:hAnsi="Sylfaen"/>
          <w:color w:val="000000" w:themeColor="text1"/>
        </w:rPr>
        <w:t xml:space="preserve"> </w:t>
      </w:r>
      <w:r>
        <w:rPr>
          <w:rFonts w:ascii="Sylfaen" w:hAnsi="Sylfaen"/>
          <w:color w:val="000000" w:themeColor="text1"/>
          <w:lang w:val="ka-GE"/>
        </w:rPr>
        <w:t>ისე 2023 წლის საპროგნოზო მაჩვენებლები, ხოლო საშუალოვადიანი პერიოდის მშპ დეფლატორთან დაკავშირებულ პროგნოზებს შორის დიდი გასხვავება არ შეინიშნება.</w:t>
      </w:r>
      <w:r w:rsidRPr="00E94AC6">
        <w:rPr>
          <w:rFonts w:ascii="Sylfaen" w:hAnsi="Sylfaen"/>
          <w:color w:val="000000" w:themeColor="text1"/>
          <w:lang w:val="ka-GE"/>
        </w:rPr>
        <w:t xml:space="preserve"> </w:t>
      </w:r>
      <w:r>
        <w:rPr>
          <w:rFonts w:ascii="Sylfaen" w:hAnsi="Sylfaen"/>
          <w:color w:val="000000" w:themeColor="text1"/>
          <w:lang w:val="ka-GE"/>
        </w:rPr>
        <w:t xml:space="preserve">მიმდინარე პერიოდში დეფლატორის შემცირებული პროგნოზი კი </w:t>
      </w:r>
      <w:r w:rsidRPr="00E94AC6">
        <w:rPr>
          <w:rFonts w:ascii="Sylfaen" w:hAnsi="Sylfaen"/>
          <w:color w:val="000000" w:themeColor="text1"/>
          <w:lang w:val="ka-GE"/>
        </w:rPr>
        <w:t xml:space="preserve">მნიშვნელოვნად არის გამოწვეული ნავთობსა და ნედლეულზე </w:t>
      </w:r>
      <w:r>
        <w:rPr>
          <w:rFonts w:ascii="Sylfaen" w:hAnsi="Sylfaen"/>
          <w:color w:val="000000" w:themeColor="text1"/>
          <w:lang w:val="ka-GE"/>
        </w:rPr>
        <w:t>შემცირებული</w:t>
      </w:r>
      <w:r w:rsidRPr="00E94AC6">
        <w:rPr>
          <w:rFonts w:ascii="Sylfaen" w:hAnsi="Sylfaen"/>
          <w:color w:val="000000" w:themeColor="text1"/>
          <w:lang w:val="ka-GE"/>
        </w:rPr>
        <w:t xml:space="preserve"> ფასებით, რასაც თან ახლავს მიწოდების ჯაჭვების </w:t>
      </w:r>
      <w:r>
        <w:rPr>
          <w:rFonts w:ascii="Sylfaen" w:hAnsi="Sylfaen"/>
          <w:color w:val="000000" w:themeColor="text1"/>
          <w:lang w:val="ka-GE"/>
        </w:rPr>
        <w:t xml:space="preserve">აღდგენითი პროცესები. </w:t>
      </w:r>
      <w:r w:rsidRPr="00E94AC6">
        <w:rPr>
          <w:rFonts w:ascii="Sylfaen" w:hAnsi="Sylfaen"/>
          <w:color w:val="000000" w:themeColor="text1"/>
          <w:lang w:val="ka-GE"/>
        </w:rPr>
        <w:t xml:space="preserve"> </w:t>
      </w:r>
      <w:r>
        <w:rPr>
          <w:rFonts w:ascii="Sylfaen" w:hAnsi="Sylfaen"/>
          <w:color w:val="000000" w:themeColor="text1"/>
          <w:lang w:val="ka-GE"/>
        </w:rPr>
        <w:t xml:space="preserve">შედარებით </w:t>
      </w:r>
      <w:r>
        <w:rPr>
          <w:rFonts w:ascii="Sylfaen" w:hAnsi="Sylfaen"/>
          <w:color w:val="000000" w:themeColor="text1"/>
          <w:lang w:val="ka-GE"/>
        </w:rPr>
        <w:lastRenderedPageBreak/>
        <w:t>დაბალი</w:t>
      </w:r>
      <w:r w:rsidRPr="00E94AC6">
        <w:rPr>
          <w:rFonts w:ascii="Sylfaen" w:hAnsi="Sylfaen"/>
          <w:color w:val="000000" w:themeColor="text1"/>
          <w:lang w:val="ka-GE"/>
        </w:rPr>
        <w:t xml:space="preserve">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F844D7" w:rsidRDefault="00F844D7" w:rsidP="00F844D7">
      <w:pPr>
        <w:pStyle w:val="NoSpacing"/>
        <w:spacing w:line="276" w:lineRule="auto"/>
        <w:ind w:firstLine="720"/>
        <w:jc w:val="both"/>
        <w:rPr>
          <w:rFonts w:ascii="Sylfaen" w:hAnsi="Sylfaen"/>
          <w:color w:val="000000" w:themeColor="text1"/>
          <w:lang w:val="ka-GE"/>
        </w:rPr>
      </w:pPr>
    </w:p>
    <w:p w:rsidR="00F844D7" w:rsidRPr="00EC7670" w:rsidRDefault="00F844D7" w:rsidP="00F844D7">
      <w:pPr>
        <w:pStyle w:val="NoSpacing"/>
        <w:spacing w:line="276" w:lineRule="auto"/>
        <w:jc w:val="both"/>
        <w:rPr>
          <w:rFonts w:ascii="Sylfaen" w:eastAsia="Times New Roman" w:hAnsi="Sylfaen" w:cs="Calibri"/>
          <w:b/>
          <w:bCs/>
          <w:color w:val="000000"/>
          <w:sz w:val="20"/>
          <w:szCs w:val="20"/>
          <w:lang w:val="ka-GE"/>
        </w:rPr>
      </w:pPr>
    </w:p>
    <w:p w:rsidR="00F844D7" w:rsidRPr="00C9780C" w:rsidRDefault="00F844D7" w:rsidP="00F844D7">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2. </w:t>
      </w:r>
      <w:proofErr w:type="gramStart"/>
      <w:r w:rsidRPr="00E94AC6">
        <w:rPr>
          <w:rFonts w:ascii="Sylfaen" w:eastAsia="Times New Roman" w:hAnsi="Sylfaen" w:cs="Calibri"/>
          <w:b/>
          <w:bCs/>
          <w:color w:val="000000"/>
          <w:sz w:val="20"/>
          <w:szCs w:val="20"/>
        </w:rPr>
        <w:t>ნომინალური</w:t>
      </w:r>
      <w:proofErr w:type="gramEnd"/>
      <w:r w:rsidRPr="00E94AC6">
        <w:rPr>
          <w:rFonts w:ascii="Sylfaen" w:eastAsia="Times New Roman" w:hAnsi="Sylfaen" w:cs="Calibri"/>
          <w:b/>
          <w:bCs/>
          <w:color w:val="000000"/>
          <w:sz w:val="20"/>
          <w:szCs w:val="20"/>
        </w:rPr>
        <w:t xml:space="preserve"> მშპ-ს ცვლილება</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388"/>
        <w:gridCol w:w="1166"/>
        <w:gridCol w:w="1398"/>
        <w:gridCol w:w="1298"/>
        <w:gridCol w:w="1075"/>
        <w:gridCol w:w="1075"/>
        <w:gridCol w:w="937"/>
      </w:tblGrid>
      <w:tr w:rsidR="00F844D7" w:rsidRPr="00C9780C" w:rsidTr="00DC424F">
        <w:trPr>
          <w:trHeight w:val="113"/>
        </w:trPr>
        <w:tc>
          <w:tcPr>
            <w:tcW w:w="1638" w:type="pct"/>
            <w:vMerge w:val="restart"/>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F844D7" w:rsidRPr="00C9780C" w:rsidRDefault="00F844D7" w:rsidP="004146A8">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564" w:type="pct"/>
            <w:shd w:val="clear" w:color="auto" w:fill="auto"/>
            <w:noWrap/>
            <w:vAlign w:val="bottom"/>
            <w:hideMark/>
          </w:tcPr>
          <w:p w:rsidR="00F844D7" w:rsidRPr="00850A7E" w:rsidRDefault="00F844D7" w:rsidP="004146A8">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676"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628"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520"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520" w:type="pct"/>
            <w:shd w:val="clear" w:color="auto" w:fill="auto"/>
            <w:noWrap/>
            <w:vAlign w:val="bottom"/>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453" w:type="pct"/>
          </w:tcPr>
          <w:p w:rsidR="00F844D7" w:rsidRPr="00C9780C" w:rsidRDefault="00F844D7" w:rsidP="004146A8">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2027</w:t>
            </w:r>
          </w:p>
        </w:tc>
      </w:tr>
      <w:tr w:rsidR="00F844D7" w:rsidRPr="00C9780C" w:rsidTr="00DC424F">
        <w:trPr>
          <w:trHeight w:val="113"/>
        </w:trPr>
        <w:tc>
          <w:tcPr>
            <w:tcW w:w="1638" w:type="pct"/>
            <w:vMerge/>
            <w:shd w:val="clear" w:color="auto" w:fill="auto"/>
            <w:noWrap/>
            <w:vAlign w:val="bottom"/>
            <w:hideMark/>
          </w:tcPr>
          <w:p w:rsidR="00F844D7" w:rsidRPr="00C9780C" w:rsidRDefault="00F844D7" w:rsidP="004146A8">
            <w:pPr>
              <w:spacing w:after="0" w:line="240" w:lineRule="auto"/>
              <w:rPr>
                <w:rFonts w:ascii="Sylfaen" w:eastAsia="Times New Roman" w:hAnsi="Sylfaen" w:cs="Calibri"/>
                <w:color w:val="000000"/>
                <w:sz w:val="18"/>
                <w:szCs w:val="18"/>
              </w:rPr>
            </w:pPr>
          </w:p>
        </w:tc>
        <w:tc>
          <w:tcPr>
            <w:tcW w:w="564" w:type="pct"/>
            <w:shd w:val="clear" w:color="auto" w:fill="auto"/>
            <w:noWrap/>
            <w:hideMark/>
          </w:tcPr>
          <w:p w:rsidR="00F844D7" w:rsidRPr="00D225FA" w:rsidRDefault="00F844D7" w:rsidP="004146A8">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ფაქტ.</w:t>
            </w:r>
          </w:p>
        </w:tc>
        <w:tc>
          <w:tcPr>
            <w:tcW w:w="676" w:type="pct"/>
            <w:shd w:val="clear" w:color="auto" w:fill="auto"/>
            <w:noWrap/>
            <w:hideMark/>
          </w:tcPr>
          <w:p w:rsidR="00F844D7" w:rsidRPr="00B120F5" w:rsidRDefault="00F844D7" w:rsidP="004146A8">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მოსალ.</w:t>
            </w:r>
          </w:p>
        </w:tc>
        <w:tc>
          <w:tcPr>
            <w:tcW w:w="628" w:type="pct"/>
            <w:shd w:val="clear" w:color="auto" w:fill="auto"/>
            <w:noWrap/>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520" w:type="pct"/>
            <w:shd w:val="clear" w:color="auto" w:fill="auto"/>
            <w:noWrap/>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520" w:type="pct"/>
            <w:shd w:val="clear" w:color="auto" w:fill="auto"/>
            <w:noWrap/>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453" w:type="pct"/>
          </w:tcPr>
          <w:p w:rsidR="00F844D7" w:rsidRPr="00D225FA" w:rsidRDefault="00F844D7" w:rsidP="004146A8">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w:t>
            </w:r>
          </w:p>
        </w:tc>
      </w:tr>
      <w:tr w:rsidR="00F844D7" w:rsidRPr="00C9780C" w:rsidTr="00DC424F">
        <w:trPr>
          <w:trHeight w:val="113"/>
        </w:trPr>
        <w:tc>
          <w:tcPr>
            <w:tcW w:w="1638" w:type="pct"/>
            <w:shd w:val="clear" w:color="auto" w:fill="auto"/>
            <w:noWrap/>
            <w:vAlign w:val="bottom"/>
            <w:hideMark/>
          </w:tcPr>
          <w:p w:rsidR="00F844D7" w:rsidRDefault="00F844D7" w:rsidP="004146A8">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F844D7" w:rsidRPr="00573B92" w:rsidRDefault="00F844D7" w:rsidP="004146A8">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564" w:type="pct"/>
            <w:shd w:val="clear" w:color="auto" w:fill="auto"/>
            <w:noWrap/>
            <w:vAlign w:val="center"/>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72</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276</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3</w:t>
            </w:r>
          </w:p>
        </w:tc>
        <w:tc>
          <w:tcPr>
            <w:tcW w:w="676" w:type="pct"/>
            <w:shd w:val="clear" w:color="auto" w:fill="auto"/>
            <w:noWrap/>
            <w:vAlign w:val="center"/>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9</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684</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w:t>
            </w:r>
          </w:p>
        </w:tc>
        <w:tc>
          <w:tcPr>
            <w:tcW w:w="628" w:type="pct"/>
            <w:shd w:val="clear" w:color="auto" w:fill="auto"/>
            <w:noWrap/>
            <w:vAlign w:val="center"/>
            <w:hideMark/>
          </w:tcPr>
          <w:p w:rsidR="00F844D7" w:rsidRPr="00C9780C" w:rsidRDefault="00F844D7" w:rsidP="004146A8">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lang w:val="ka-GE"/>
              </w:rPr>
              <w:t>86</w:t>
            </w:r>
            <w:r>
              <w:rPr>
                <w:rFonts w:ascii="Sylfaen" w:eastAsia="Times New Roman" w:hAnsi="Sylfaen" w:cs="Calibri"/>
                <w:bCs/>
                <w:color w:val="000000"/>
                <w:sz w:val="18"/>
                <w:szCs w:val="18"/>
              </w:rPr>
              <w:t>,3</w:t>
            </w:r>
            <w:r>
              <w:rPr>
                <w:rFonts w:ascii="Sylfaen" w:eastAsia="Times New Roman" w:hAnsi="Sylfaen" w:cs="Calibri"/>
                <w:bCs/>
                <w:color w:val="000000"/>
                <w:sz w:val="18"/>
                <w:szCs w:val="18"/>
                <w:lang w:val="ka-GE"/>
              </w:rPr>
              <w:t>4</w:t>
            </w:r>
            <w:r>
              <w:rPr>
                <w:rFonts w:ascii="Sylfaen" w:eastAsia="Times New Roman" w:hAnsi="Sylfaen" w:cs="Calibri"/>
                <w:bCs/>
                <w:color w:val="000000"/>
                <w:sz w:val="18"/>
                <w:szCs w:val="18"/>
              </w:rPr>
              <w:t>3.0</w:t>
            </w:r>
          </w:p>
        </w:tc>
        <w:tc>
          <w:tcPr>
            <w:tcW w:w="520" w:type="pct"/>
            <w:shd w:val="clear" w:color="auto" w:fill="auto"/>
            <w:noWrap/>
            <w:vAlign w:val="center"/>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93</w:t>
            </w:r>
            <w:r>
              <w:rPr>
                <w:rFonts w:ascii="Sylfaen" w:eastAsia="Times New Roman" w:hAnsi="Sylfaen" w:cs="Calibri"/>
                <w:bCs/>
                <w:color w:val="000000"/>
                <w:sz w:val="18"/>
                <w:szCs w:val="18"/>
              </w:rPr>
              <w:t>,5</w:t>
            </w:r>
            <w:r>
              <w:rPr>
                <w:rFonts w:ascii="Sylfaen" w:eastAsia="Times New Roman" w:hAnsi="Sylfaen" w:cs="Calibri"/>
                <w:bCs/>
                <w:color w:val="000000"/>
                <w:sz w:val="18"/>
                <w:szCs w:val="18"/>
                <w:lang w:val="ka-GE"/>
              </w:rPr>
              <w:t>57</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8</w:t>
            </w:r>
          </w:p>
        </w:tc>
        <w:tc>
          <w:tcPr>
            <w:tcW w:w="520" w:type="pct"/>
            <w:shd w:val="clear" w:color="auto" w:fill="auto"/>
            <w:noWrap/>
            <w:vAlign w:val="center"/>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101,182.8</w:t>
            </w:r>
          </w:p>
        </w:tc>
        <w:tc>
          <w:tcPr>
            <w:tcW w:w="453" w:type="pct"/>
          </w:tcPr>
          <w:p w:rsidR="00F844D7" w:rsidRPr="00C9780C" w:rsidRDefault="00F844D7" w:rsidP="004146A8">
            <w:pPr>
              <w:spacing w:after="0" w:line="240" w:lineRule="auto"/>
              <w:jc w:val="right"/>
              <w:rPr>
                <w:rFonts w:ascii="Sylfaen" w:eastAsia="Times New Roman" w:hAnsi="Sylfaen" w:cs="Calibri"/>
                <w:bCs/>
                <w:color w:val="000000"/>
                <w:sz w:val="18"/>
                <w:szCs w:val="18"/>
              </w:rPr>
            </w:pPr>
          </w:p>
        </w:tc>
      </w:tr>
      <w:tr w:rsidR="00F844D7" w:rsidRPr="00C9780C" w:rsidTr="00DC424F">
        <w:trPr>
          <w:trHeight w:val="113"/>
        </w:trPr>
        <w:tc>
          <w:tcPr>
            <w:tcW w:w="1638" w:type="pct"/>
            <w:shd w:val="clear" w:color="auto" w:fill="auto"/>
            <w:noWrap/>
            <w:vAlign w:val="bottom"/>
            <w:hideMark/>
          </w:tcPr>
          <w:p w:rsidR="00F844D7" w:rsidRPr="00C9780C" w:rsidRDefault="00F844D7" w:rsidP="004146A8">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564" w:type="pct"/>
            <w:shd w:val="clear" w:color="auto" w:fill="auto"/>
            <w:noWrap/>
            <w:vAlign w:val="bottom"/>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54</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w:t>
            </w:r>
          </w:p>
        </w:tc>
        <w:tc>
          <w:tcPr>
            <w:tcW w:w="676" w:type="pct"/>
            <w:shd w:val="clear" w:color="auto" w:fill="auto"/>
            <w:noWrap/>
            <w:vAlign w:val="bottom"/>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8</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12</w:t>
            </w:r>
            <w:r>
              <w:rPr>
                <w:rFonts w:ascii="Sylfaen" w:eastAsia="Times New Roman" w:hAnsi="Sylfaen" w:cs="Calibri"/>
                <w:bCs/>
                <w:color w:val="000000"/>
                <w:sz w:val="18"/>
                <w:szCs w:val="18"/>
              </w:rPr>
              <w:t>4</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7</w:t>
            </w:r>
          </w:p>
        </w:tc>
        <w:tc>
          <w:tcPr>
            <w:tcW w:w="628" w:type="pct"/>
            <w:shd w:val="clear" w:color="auto" w:fill="auto"/>
            <w:noWrap/>
            <w:vAlign w:val="bottom"/>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8</w:t>
            </w:r>
            <w:r>
              <w:rPr>
                <w:rFonts w:ascii="Sylfaen" w:eastAsia="Times New Roman" w:hAnsi="Sylfaen" w:cs="Calibri"/>
                <w:bCs/>
                <w:color w:val="000000"/>
                <w:sz w:val="18"/>
                <w:szCs w:val="18"/>
                <w:lang w:val="ka-GE"/>
              </w:rPr>
              <w:t>4</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655</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9</w:t>
            </w:r>
          </w:p>
        </w:tc>
        <w:tc>
          <w:tcPr>
            <w:tcW w:w="520" w:type="pct"/>
            <w:shd w:val="clear" w:color="auto" w:fill="auto"/>
            <w:noWrap/>
            <w:vAlign w:val="bottom"/>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9</w:t>
            </w:r>
            <w:r>
              <w:rPr>
                <w:rFonts w:ascii="Sylfaen" w:eastAsia="Times New Roman" w:hAnsi="Sylfaen" w:cs="Calibri"/>
                <w:bCs/>
                <w:color w:val="000000"/>
                <w:sz w:val="18"/>
                <w:szCs w:val="18"/>
                <w:lang w:val="ka-GE"/>
              </w:rPr>
              <w:t>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55</w:t>
            </w:r>
            <w:r>
              <w:rPr>
                <w:rFonts w:ascii="Sylfaen" w:eastAsia="Times New Roman" w:hAnsi="Sylfaen" w:cs="Calibri"/>
                <w:bCs/>
                <w:color w:val="000000"/>
                <w:sz w:val="18"/>
                <w:szCs w:val="18"/>
                <w:lang w:val="ka-GE"/>
              </w:rPr>
              <w:t>5</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4</w:t>
            </w:r>
          </w:p>
        </w:tc>
        <w:tc>
          <w:tcPr>
            <w:tcW w:w="520" w:type="pct"/>
            <w:shd w:val="clear" w:color="auto" w:fill="auto"/>
            <w:noWrap/>
            <w:vAlign w:val="bottom"/>
            <w:hideMark/>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99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0</w:t>
            </w:r>
            <w:r>
              <w:rPr>
                <w:rFonts w:ascii="Sylfaen" w:eastAsia="Times New Roman" w:hAnsi="Sylfaen" w:cs="Calibri"/>
                <w:bCs/>
                <w:color w:val="000000"/>
                <w:sz w:val="18"/>
                <w:szCs w:val="18"/>
              </w:rPr>
              <w:t>1</w:t>
            </w:r>
            <w:r>
              <w:rPr>
                <w:rFonts w:ascii="Sylfaen" w:eastAsia="Times New Roman" w:hAnsi="Sylfaen" w:cs="Calibri"/>
                <w:bCs/>
                <w:color w:val="000000"/>
                <w:sz w:val="18"/>
                <w:szCs w:val="18"/>
                <w:lang w:val="ka-GE"/>
              </w:rPr>
              <w:t>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1</w:t>
            </w:r>
          </w:p>
        </w:tc>
        <w:tc>
          <w:tcPr>
            <w:tcW w:w="453" w:type="pct"/>
          </w:tcPr>
          <w:p w:rsidR="00F844D7" w:rsidRPr="00D225FA" w:rsidRDefault="00F844D7" w:rsidP="004146A8">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107,087.0</w:t>
            </w:r>
          </w:p>
        </w:tc>
      </w:tr>
    </w:tbl>
    <w:p w:rsidR="00F844D7" w:rsidRDefault="00F844D7" w:rsidP="00F844D7">
      <w:pPr>
        <w:pStyle w:val="NoSpacing"/>
        <w:spacing w:line="276" w:lineRule="auto"/>
        <w:jc w:val="both"/>
        <w:rPr>
          <w:rFonts w:ascii="Sylfaen" w:hAnsi="Sylfaen"/>
          <w:lang w:val="ka-GE"/>
        </w:rPr>
      </w:pPr>
    </w:p>
    <w:p w:rsidR="00F844D7" w:rsidRDefault="00F844D7" w:rsidP="00F844D7">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Pr>
          <w:rFonts w:ascii="Sylfaen" w:hAnsi="Sylfaen"/>
          <w:color w:val="000000" w:themeColor="text1"/>
        </w:rPr>
        <w:t>2</w:t>
      </w:r>
      <w:r w:rsidRPr="00B21B51">
        <w:rPr>
          <w:rFonts w:ascii="Sylfaen" w:hAnsi="Sylfaen"/>
          <w:color w:val="000000" w:themeColor="text1"/>
          <w:lang w:val="ka-GE"/>
        </w:rPr>
        <w:t>2 წლის ნომინალური მშპ-ს ფაქტობრივი მნიშვნელობა მშპ-ს წინა პროგნოზს (202</w:t>
      </w:r>
      <w:r>
        <w:rPr>
          <w:rFonts w:ascii="Sylfaen" w:hAnsi="Sylfaen"/>
          <w:color w:val="000000" w:themeColor="text1"/>
        </w:rPr>
        <w:t>2</w:t>
      </w:r>
      <w:r w:rsidRPr="00B21B51">
        <w:rPr>
          <w:rFonts w:ascii="Sylfaen" w:hAnsi="Sylfaen"/>
          <w:color w:val="000000" w:themeColor="text1"/>
          <w:lang w:val="ka-GE"/>
        </w:rPr>
        <w:t xml:space="preserve"> წლის დეკემბერი) </w:t>
      </w:r>
      <w:r>
        <w:rPr>
          <w:rFonts w:ascii="Sylfaen" w:hAnsi="Sylfaen"/>
          <w:color w:val="000000" w:themeColor="text1"/>
          <w:lang w:val="ka-GE"/>
        </w:rPr>
        <w:t xml:space="preserve">ჩამოუვარდება, რაც გარკვეულწილად </w:t>
      </w:r>
      <w:r w:rsidRPr="00B21B51">
        <w:rPr>
          <w:rFonts w:ascii="Sylfaen" w:hAnsi="Sylfaen"/>
          <w:color w:val="000000" w:themeColor="text1"/>
          <w:lang w:val="ka-GE"/>
        </w:rPr>
        <w:t xml:space="preserve">გამოწვეულია მშპ-ს დეფლატორის მოსალოდნელზე </w:t>
      </w:r>
      <w:r>
        <w:rPr>
          <w:rFonts w:ascii="Sylfaen" w:hAnsi="Sylfaen"/>
          <w:color w:val="000000" w:themeColor="text1"/>
          <w:lang w:val="ka-GE"/>
        </w:rPr>
        <w:t>დაბალი</w:t>
      </w:r>
      <w:r w:rsidRPr="00B21B51">
        <w:rPr>
          <w:rFonts w:ascii="Sylfaen" w:hAnsi="Sylfaen"/>
          <w:color w:val="000000" w:themeColor="text1"/>
          <w:lang w:val="ka-GE"/>
        </w:rPr>
        <w:t xml:space="preserve"> </w:t>
      </w:r>
      <w:r>
        <w:rPr>
          <w:rFonts w:ascii="Sylfaen" w:hAnsi="Sylfaen"/>
          <w:color w:val="000000" w:themeColor="text1"/>
          <w:lang w:val="ka-GE"/>
        </w:rPr>
        <w:t>ზრდით</w:t>
      </w:r>
      <w:r w:rsidRPr="00B21B51">
        <w:rPr>
          <w:rFonts w:ascii="Sylfaen" w:hAnsi="Sylfaen"/>
          <w:color w:val="000000" w:themeColor="text1"/>
          <w:lang w:val="ka-GE"/>
        </w:rPr>
        <w:t>. ამასთან, ზოგადი ფასების დონის</w:t>
      </w:r>
      <w:r>
        <w:rPr>
          <w:rFonts w:ascii="Sylfaen" w:hAnsi="Sylfaen"/>
          <w:color w:val="000000" w:themeColor="text1"/>
          <w:lang w:val="ka-GE"/>
        </w:rPr>
        <w:t xml:space="preserve"> ნაკლები ტემპით</w:t>
      </w:r>
      <w:r w:rsidRPr="00B21B51">
        <w:rPr>
          <w:rFonts w:ascii="Sylfaen" w:hAnsi="Sylfaen"/>
          <w:color w:val="000000" w:themeColor="text1"/>
          <w:lang w:val="ka-GE"/>
        </w:rPr>
        <w:t xml:space="preserve"> ზრდის</w:t>
      </w:r>
      <w:r>
        <w:rPr>
          <w:rFonts w:ascii="Sylfaen" w:hAnsi="Sylfaen"/>
          <w:color w:val="000000" w:themeColor="text1"/>
          <w:lang w:val="ka-GE"/>
        </w:rPr>
        <w:t xml:space="preserve"> (გარკვეული სასაქონლო კატეგორიების შემთხვევაში კლებაც ფიქსირდება)</w:t>
      </w:r>
      <w:r w:rsidRPr="00B21B51">
        <w:rPr>
          <w:rFonts w:ascii="Sylfaen" w:hAnsi="Sylfaen"/>
          <w:color w:val="000000" w:themeColor="text1"/>
          <w:lang w:val="ka-GE"/>
        </w:rPr>
        <w:t xml:space="preserve"> შედეგად, 202</w:t>
      </w:r>
      <w:r>
        <w:rPr>
          <w:rFonts w:ascii="Sylfaen" w:hAnsi="Sylfaen"/>
          <w:color w:val="000000" w:themeColor="text1"/>
          <w:lang w:val="ka-GE"/>
        </w:rPr>
        <w:t>3</w:t>
      </w:r>
      <w:r w:rsidRPr="00B21B51">
        <w:rPr>
          <w:rFonts w:ascii="Sylfaen" w:hAnsi="Sylfaen"/>
          <w:color w:val="000000" w:themeColor="text1"/>
          <w:lang w:val="ka-GE"/>
        </w:rPr>
        <w:t xml:space="preserve"> წელს </w:t>
      </w:r>
      <w:r>
        <w:rPr>
          <w:rFonts w:ascii="Sylfaen" w:hAnsi="Sylfaen"/>
          <w:color w:val="000000" w:themeColor="text1"/>
          <w:lang w:val="ka-GE"/>
        </w:rPr>
        <w:t>2022 წლის დეკემბრის პროგნოზთან შედარებით შემცირებულია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პროგნოზიც</w:t>
      </w:r>
      <w:r w:rsidRPr="00B21B51">
        <w:rPr>
          <w:rFonts w:ascii="Sylfaen" w:hAnsi="Sylfaen"/>
          <w:color w:val="000000" w:themeColor="text1"/>
          <w:lang w:val="ka-GE"/>
        </w:rPr>
        <w:t xml:space="preserve">. </w:t>
      </w:r>
      <w:r>
        <w:rPr>
          <w:rFonts w:ascii="Sylfaen" w:hAnsi="Sylfaen"/>
          <w:color w:val="000000" w:themeColor="text1"/>
          <w:lang w:val="ka-GE"/>
        </w:rPr>
        <w:t>მიუხდავად იმისა, რომ</w:t>
      </w:r>
      <w:r w:rsidRPr="00B21B51">
        <w:rPr>
          <w:rFonts w:ascii="Sylfaen" w:hAnsi="Sylfaen"/>
          <w:color w:val="000000" w:themeColor="text1"/>
          <w:lang w:val="ka-GE"/>
        </w:rPr>
        <w:t xml:space="preserve"> მიმდინარე ტენდენციებისა და დაფიქსირებული მაღალი ეკონომიკური აქტივობის ფონზე</w:t>
      </w:r>
      <w:r>
        <w:rPr>
          <w:rFonts w:ascii="Sylfaen" w:hAnsi="Sylfaen"/>
          <w:color w:val="000000" w:themeColor="text1"/>
          <w:lang w:val="ka-GE"/>
        </w:rPr>
        <w:t>,</w:t>
      </w:r>
      <w:r w:rsidRPr="00B21B51">
        <w:rPr>
          <w:rFonts w:ascii="Sylfaen" w:hAnsi="Sylfaen"/>
          <w:color w:val="000000" w:themeColor="text1"/>
          <w:lang w:val="ka-GE"/>
        </w:rPr>
        <w:t xml:space="preserve"> 202</w:t>
      </w:r>
      <w:r>
        <w:rPr>
          <w:rFonts w:ascii="Sylfaen" w:hAnsi="Sylfaen"/>
          <w:color w:val="000000" w:themeColor="text1"/>
          <w:lang w:val="ka-GE"/>
        </w:rPr>
        <w:t>3</w:t>
      </w:r>
      <w:r w:rsidRPr="00B21B51">
        <w:rPr>
          <w:rFonts w:ascii="Sylfaen" w:hAnsi="Sylfaen"/>
          <w:color w:val="000000" w:themeColor="text1"/>
          <w:lang w:val="ka-GE"/>
        </w:rPr>
        <w:t xml:space="preserve"> წლის რეალური მშპ-ს ზრდის ახალი პროგნოზი</w:t>
      </w:r>
      <w:r>
        <w:rPr>
          <w:rFonts w:ascii="Sylfaen" w:hAnsi="Sylfaen"/>
          <w:color w:val="000000" w:themeColor="text1"/>
          <w:lang w:val="ka-GE"/>
        </w:rPr>
        <w:t xml:space="preserve"> აღემატება 2022 წლის პროგნოზს, დეფლატორის შემცირებული საპროგნოზო მაჩვენებელების გამო შემცირებუ</w:t>
      </w:r>
      <w:r w:rsidRPr="00B21B51">
        <w:rPr>
          <w:rFonts w:ascii="Sylfaen" w:hAnsi="Sylfaen"/>
          <w:color w:val="000000" w:themeColor="text1"/>
          <w:lang w:val="ka-GE"/>
        </w:rPr>
        <w:t>ლია ნომინალური მშპ-ს პროგნოზიც როგორც 202</w:t>
      </w:r>
      <w:r>
        <w:rPr>
          <w:rFonts w:ascii="Sylfaen" w:hAnsi="Sylfaen"/>
          <w:color w:val="000000" w:themeColor="text1"/>
          <w:lang w:val="ka-GE"/>
        </w:rPr>
        <w:t>3</w:t>
      </w:r>
      <w:r w:rsidRPr="00B21B51">
        <w:rPr>
          <w:rFonts w:ascii="Sylfaen" w:hAnsi="Sylfaen"/>
          <w:color w:val="000000" w:themeColor="text1"/>
          <w:lang w:val="ka-GE"/>
        </w:rPr>
        <w:t xml:space="preserve"> წლისთვის, ისე </w:t>
      </w:r>
      <w:r>
        <w:rPr>
          <w:rFonts w:ascii="Sylfaen" w:hAnsi="Sylfaen"/>
          <w:color w:val="000000" w:themeColor="text1"/>
          <w:lang w:val="ka-GE"/>
        </w:rPr>
        <w:t xml:space="preserve">- </w:t>
      </w:r>
      <w:r w:rsidRPr="00B21B51">
        <w:rPr>
          <w:rFonts w:ascii="Sylfaen" w:hAnsi="Sylfaen"/>
          <w:color w:val="000000" w:themeColor="text1"/>
          <w:lang w:val="ka-GE"/>
        </w:rPr>
        <w:t xml:space="preserve">საშუალოვადიანი პერიოდისათვის. </w:t>
      </w:r>
    </w:p>
    <w:p w:rsidR="00F844D7" w:rsidRPr="00B21B51" w:rsidRDefault="00F844D7" w:rsidP="00F844D7">
      <w:pPr>
        <w:spacing w:after="0" w:line="276" w:lineRule="auto"/>
        <w:ind w:firstLine="567"/>
        <w:jc w:val="both"/>
        <w:rPr>
          <w:rFonts w:ascii="Sylfaen" w:hAnsi="Sylfaen"/>
          <w:color w:val="000000" w:themeColor="text1"/>
          <w:lang w:val="ka-GE"/>
        </w:rPr>
      </w:pPr>
    </w:p>
    <w:p w:rsidR="00F844D7" w:rsidRDefault="00F844D7" w:rsidP="00F844D7">
      <w:pPr>
        <w:pStyle w:val="NoSpacing"/>
        <w:spacing w:line="276" w:lineRule="auto"/>
        <w:ind w:firstLine="567"/>
        <w:jc w:val="both"/>
        <w:rPr>
          <w:rFonts w:ascii="Sylfaen" w:eastAsia="Times New Roman" w:hAnsi="Sylfaen" w:cs="Calibri"/>
          <w:b/>
          <w:bCs/>
          <w:color w:val="000000"/>
          <w:sz w:val="20"/>
          <w:szCs w:val="20"/>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3. </w:t>
      </w:r>
      <w:proofErr w:type="gramStart"/>
      <w:r w:rsidRPr="00E94AC6">
        <w:rPr>
          <w:rFonts w:ascii="Sylfaen" w:eastAsia="Times New Roman" w:hAnsi="Sylfaen" w:cs="Calibri"/>
          <w:b/>
          <w:bCs/>
          <w:color w:val="000000"/>
          <w:sz w:val="20"/>
          <w:szCs w:val="20"/>
        </w:rPr>
        <w:t>ნაერთი</w:t>
      </w:r>
      <w:proofErr w:type="gramEnd"/>
      <w:r w:rsidRPr="00E94AC6">
        <w:rPr>
          <w:rFonts w:ascii="Sylfaen" w:eastAsia="Times New Roman" w:hAnsi="Sylfaen" w:cs="Calibri"/>
          <w:b/>
          <w:bCs/>
          <w:color w:val="000000"/>
          <w:sz w:val="20"/>
          <w:szCs w:val="20"/>
        </w:rPr>
        <w:t xml:space="preserve"> ბიუჯეტი</w:t>
      </w:r>
    </w:p>
    <w:tbl>
      <w:tblPr>
        <w:tblW w:w="5000"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806"/>
        <w:gridCol w:w="1167"/>
        <w:gridCol w:w="1775"/>
        <w:gridCol w:w="1148"/>
        <w:gridCol w:w="1147"/>
        <w:gridCol w:w="1147"/>
        <w:gridCol w:w="1147"/>
      </w:tblGrid>
      <w:tr w:rsidR="00F844D7" w:rsidRPr="00B05A47" w:rsidTr="00DC424F">
        <w:trPr>
          <w:trHeight w:val="113"/>
          <w:jc w:val="center"/>
        </w:trPr>
        <w:tc>
          <w:tcPr>
            <w:tcW w:w="1357" w:type="pct"/>
            <w:vMerge w:val="restart"/>
            <w:shd w:val="clear" w:color="auto" w:fill="auto"/>
            <w:vAlign w:val="center"/>
            <w:hideMark/>
          </w:tcPr>
          <w:p w:rsidR="00F844D7" w:rsidRPr="00B05A47" w:rsidRDefault="00F844D7" w:rsidP="004146A8">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564"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858"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c>
          <w:tcPr>
            <w:tcW w:w="555" w:type="pct"/>
          </w:tcPr>
          <w:p w:rsidR="00F844D7" w:rsidRPr="00D225FA" w:rsidRDefault="00F844D7" w:rsidP="004146A8">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2027</w:t>
            </w:r>
          </w:p>
        </w:tc>
      </w:tr>
      <w:tr w:rsidR="00F844D7" w:rsidRPr="00B05A47" w:rsidTr="00DC424F">
        <w:trPr>
          <w:trHeight w:val="113"/>
          <w:jc w:val="center"/>
        </w:trPr>
        <w:tc>
          <w:tcPr>
            <w:tcW w:w="1357" w:type="pct"/>
            <w:vMerge/>
            <w:vAlign w:val="center"/>
            <w:hideMark/>
          </w:tcPr>
          <w:p w:rsidR="00F844D7" w:rsidRPr="00B05A47" w:rsidRDefault="00F844D7" w:rsidP="004146A8">
            <w:pPr>
              <w:spacing w:after="0" w:line="240" w:lineRule="auto"/>
              <w:rPr>
                <w:rFonts w:ascii="Sylfaen" w:eastAsia="Times New Roman" w:hAnsi="Sylfaen" w:cs="Arial"/>
                <w:b/>
                <w:bCs/>
                <w:color w:val="000000"/>
                <w:sz w:val="18"/>
                <w:szCs w:val="18"/>
              </w:rPr>
            </w:pPr>
          </w:p>
        </w:tc>
        <w:tc>
          <w:tcPr>
            <w:tcW w:w="564"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lang w:val="ka-GE"/>
              </w:rPr>
              <w:t>ფაქტი</w:t>
            </w:r>
          </w:p>
        </w:tc>
        <w:tc>
          <w:tcPr>
            <w:tcW w:w="858" w:type="pct"/>
            <w:shd w:val="clear" w:color="auto" w:fill="auto"/>
            <w:vAlign w:val="center"/>
            <w:hideMark/>
          </w:tcPr>
          <w:p w:rsidR="00F844D7" w:rsidRPr="00D225FA" w:rsidRDefault="00F844D7" w:rsidP="004146A8">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მოსალ.</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55" w:type="pct"/>
          </w:tcPr>
          <w:p w:rsidR="00F844D7" w:rsidRPr="00D225FA" w:rsidRDefault="00F844D7" w:rsidP="004146A8">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პროგნოზი</w:t>
            </w:r>
          </w:p>
        </w:tc>
      </w:tr>
      <w:tr w:rsidR="00F844D7" w:rsidRPr="00B05A47" w:rsidTr="00DC424F">
        <w:trPr>
          <w:trHeight w:val="113"/>
          <w:jc w:val="center"/>
        </w:trPr>
        <w:tc>
          <w:tcPr>
            <w:tcW w:w="1357" w:type="pct"/>
            <w:shd w:val="clear" w:color="auto" w:fill="auto"/>
            <w:vAlign w:val="center"/>
            <w:hideMark/>
          </w:tcPr>
          <w:p w:rsidR="00F844D7" w:rsidRPr="00B05A47" w:rsidRDefault="00F844D7" w:rsidP="004146A8">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564"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1</w:t>
            </w:r>
            <w:r>
              <w:rPr>
                <w:rFonts w:ascii="Sylfaen" w:eastAsia="Times New Roman" w:hAnsi="Sylfaen" w:cs="Arial"/>
                <w:color w:val="000000"/>
                <w:sz w:val="18"/>
                <w:szCs w:val="18"/>
                <w:lang w:val="ka-GE"/>
              </w:rPr>
              <w:t>9,</w:t>
            </w: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17.</w:t>
            </w:r>
            <w:r w:rsidRPr="00B05A47">
              <w:rPr>
                <w:rFonts w:ascii="Sylfaen" w:eastAsia="Times New Roman" w:hAnsi="Sylfaen" w:cs="Arial"/>
                <w:color w:val="000000"/>
                <w:sz w:val="18"/>
                <w:szCs w:val="18"/>
              </w:rPr>
              <w:t>0</w:t>
            </w:r>
          </w:p>
        </w:tc>
        <w:tc>
          <w:tcPr>
            <w:tcW w:w="858"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20,</w:t>
            </w:r>
            <w:r w:rsidRPr="00B05A47">
              <w:rPr>
                <w:rFonts w:ascii="Sylfaen" w:eastAsia="Times New Roman" w:hAnsi="Sylfaen" w:cs="Arial"/>
                <w:color w:val="000000"/>
                <w:sz w:val="18"/>
                <w:szCs w:val="18"/>
              </w:rPr>
              <w:t>8</w:t>
            </w:r>
            <w:r>
              <w:rPr>
                <w:rFonts w:ascii="Sylfaen" w:eastAsia="Times New Roman" w:hAnsi="Sylfaen" w:cs="Arial"/>
                <w:color w:val="000000"/>
                <w:sz w:val="18"/>
                <w:szCs w:val="18"/>
                <w:lang w:val="ka-GE"/>
              </w:rPr>
              <w:t>05.</w:t>
            </w:r>
            <w:r w:rsidRPr="00B05A47">
              <w:rPr>
                <w:rFonts w:ascii="Sylfaen" w:eastAsia="Times New Roman" w:hAnsi="Sylfaen" w:cs="Arial"/>
                <w:color w:val="000000"/>
                <w:sz w:val="18"/>
                <w:szCs w:val="18"/>
              </w:rPr>
              <w:t>0</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22,0</w:t>
            </w:r>
            <w:r w:rsidRPr="00B05A47">
              <w:rPr>
                <w:rFonts w:ascii="Sylfaen" w:eastAsia="Times New Roman" w:hAnsi="Sylfaen" w:cs="Arial"/>
                <w:color w:val="000000"/>
                <w:sz w:val="18"/>
                <w:szCs w:val="18"/>
              </w:rPr>
              <w:t>7</w:t>
            </w:r>
            <w:r>
              <w:rPr>
                <w:rFonts w:ascii="Sylfaen" w:eastAsia="Times New Roman" w:hAnsi="Sylfaen" w:cs="Arial"/>
                <w:color w:val="000000"/>
                <w:sz w:val="18"/>
                <w:szCs w:val="18"/>
                <w:lang w:val="ka-GE"/>
              </w:rPr>
              <w:t>6.</w:t>
            </w:r>
            <w:r w:rsidRPr="00B05A47">
              <w:rPr>
                <w:rFonts w:ascii="Sylfaen" w:eastAsia="Times New Roman" w:hAnsi="Sylfaen" w:cs="Arial"/>
                <w:color w:val="000000"/>
                <w:sz w:val="18"/>
                <w:szCs w:val="18"/>
              </w:rPr>
              <w:t>0</w:t>
            </w:r>
          </w:p>
        </w:tc>
        <w:tc>
          <w:tcPr>
            <w:tcW w:w="555" w:type="pct"/>
            <w:shd w:val="clear" w:color="auto" w:fill="auto"/>
            <w:vAlign w:val="center"/>
            <w:hideMark/>
          </w:tcPr>
          <w:p w:rsidR="00F844D7" w:rsidRPr="00B05A47" w:rsidRDefault="00F844D7" w:rsidP="004146A8">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3,794.</w:t>
            </w:r>
            <w:r w:rsidRPr="00B05A47">
              <w:rPr>
                <w:rFonts w:ascii="Sylfaen" w:eastAsia="Times New Roman" w:hAnsi="Sylfaen" w:cs="Arial"/>
                <w:color w:val="000000"/>
                <w:sz w:val="18"/>
                <w:szCs w:val="18"/>
              </w:rPr>
              <w:t>0</w:t>
            </w:r>
          </w:p>
        </w:tc>
        <w:tc>
          <w:tcPr>
            <w:tcW w:w="555" w:type="pct"/>
            <w:shd w:val="clear" w:color="auto" w:fill="auto"/>
            <w:vAlign w:val="center"/>
            <w:hideMark/>
          </w:tcPr>
          <w:p w:rsidR="00F844D7" w:rsidRPr="00D225FA" w:rsidRDefault="00F844D7" w:rsidP="004146A8">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25,704.0</w:t>
            </w:r>
          </w:p>
        </w:tc>
        <w:tc>
          <w:tcPr>
            <w:tcW w:w="555" w:type="pct"/>
          </w:tcPr>
          <w:p w:rsidR="00F844D7" w:rsidRPr="00B05A47" w:rsidRDefault="00F844D7" w:rsidP="004146A8">
            <w:pPr>
              <w:spacing w:after="0" w:line="240" w:lineRule="auto"/>
              <w:jc w:val="center"/>
              <w:rPr>
                <w:rFonts w:ascii="Calibri" w:eastAsia="Times New Roman" w:hAnsi="Calibri" w:cs="Calibri"/>
                <w:sz w:val="18"/>
                <w:szCs w:val="18"/>
              </w:rPr>
            </w:pPr>
          </w:p>
        </w:tc>
      </w:tr>
      <w:tr w:rsidR="00F844D7" w:rsidRPr="00B05A47" w:rsidTr="00DC424F">
        <w:trPr>
          <w:trHeight w:val="113"/>
          <w:jc w:val="center"/>
        </w:trPr>
        <w:tc>
          <w:tcPr>
            <w:tcW w:w="1357" w:type="pct"/>
            <w:shd w:val="clear" w:color="auto" w:fill="auto"/>
            <w:vAlign w:val="center"/>
            <w:hideMark/>
          </w:tcPr>
          <w:p w:rsidR="00F844D7" w:rsidRPr="00B05A47" w:rsidRDefault="00F844D7" w:rsidP="004146A8">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564"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sidRPr="007C3878">
              <w:rPr>
                <w:rFonts w:ascii="Sylfaen" w:hAnsi="Sylfaen"/>
                <w:sz w:val="18"/>
              </w:rPr>
              <w:t>19</w:t>
            </w:r>
            <w:r>
              <w:rPr>
                <w:rFonts w:ascii="Sylfaen" w:hAnsi="Sylfaen"/>
                <w:sz w:val="18"/>
                <w:lang w:val="ka-GE"/>
              </w:rPr>
              <w:t>,37</w:t>
            </w:r>
            <w:r w:rsidRPr="007C3878">
              <w:rPr>
                <w:rFonts w:ascii="Sylfaen" w:hAnsi="Sylfaen"/>
                <w:sz w:val="18"/>
              </w:rPr>
              <w:t>7</w:t>
            </w:r>
            <w:r>
              <w:rPr>
                <w:rFonts w:ascii="Sylfaen" w:hAnsi="Sylfaen"/>
                <w:sz w:val="18"/>
                <w:lang w:val="ka-GE"/>
              </w:rPr>
              <w:t>.</w:t>
            </w:r>
            <w:r>
              <w:rPr>
                <w:rFonts w:ascii="Sylfaen" w:hAnsi="Sylfaen"/>
                <w:sz w:val="18"/>
              </w:rPr>
              <w:t>6</w:t>
            </w:r>
          </w:p>
        </w:tc>
        <w:tc>
          <w:tcPr>
            <w:tcW w:w="858"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1,21</w:t>
            </w:r>
            <w:r w:rsidRPr="007B1FDE">
              <w:rPr>
                <w:rFonts w:ascii="Sylfaen" w:hAnsi="Sylfaen"/>
                <w:sz w:val="18"/>
              </w:rPr>
              <w:t>5</w:t>
            </w:r>
            <w:r>
              <w:rPr>
                <w:rFonts w:ascii="Sylfaen" w:hAnsi="Sylfaen"/>
                <w:sz w:val="18"/>
                <w:lang w:val="ka-GE"/>
              </w:rPr>
              <w:t>.</w:t>
            </w:r>
            <w:r w:rsidRPr="0056170B">
              <w:rPr>
                <w:rFonts w:ascii="Sylfaen" w:hAnsi="Sylfaen"/>
                <w:sz w:val="18"/>
              </w:rPr>
              <w:t>0</w:t>
            </w:r>
          </w:p>
        </w:tc>
        <w:tc>
          <w:tcPr>
            <w:tcW w:w="555"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sidRPr="007B1FDE">
              <w:rPr>
                <w:rFonts w:ascii="Sylfaen" w:hAnsi="Sylfaen"/>
                <w:sz w:val="18"/>
              </w:rPr>
              <w:t>22</w:t>
            </w:r>
            <w:r>
              <w:rPr>
                <w:rFonts w:ascii="Sylfaen" w:hAnsi="Sylfaen"/>
                <w:sz w:val="18"/>
                <w:lang w:val="ka-GE"/>
              </w:rPr>
              <w:t>,80</w:t>
            </w:r>
            <w:r w:rsidRPr="007B1FDE">
              <w:rPr>
                <w:rFonts w:ascii="Sylfaen" w:hAnsi="Sylfaen"/>
                <w:sz w:val="18"/>
              </w:rPr>
              <w:t>0</w:t>
            </w:r>
            <w:r>
              <w:rPr>
                <w:rFonts w:ascii="Sylfaen" w:hAnsi="Sylfaen"/>
                <w:sz w:val="18"/>
                <w:lang w:val="ka-GE"/>
              </w:rPr>
              <w:t>.</w:t>
            </w:r>
            <w:r w:rsidRPr="0056170B">
              <w:rPr>
                <w:rFonts w:ascii="Sylfaen" w:hAnsi="Sylfaen"/>
                <w:sz w:val="18"/>
              </w:rPr>
              <w:t>0</w:t>
            </w:r>
          </w:p>
        </w:tc>
        <w:tc>
          <w:tcPr>
            <w:tcW w:w="555"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sidRPr="007C3878">
              <w:rPr>
                <w:rFonts w:ascii="Sylfaen" w:hAnsi="Sylfaen"/>
                <w:sz w:val="18"/>
              </w:rPr>
              <w:t>2</w:t>
            </w:r>
            <w:r w:rsidRPr="007B1FDE">
              <w:rPr>
                <w:rFonts w:ascii="Sylfaen" w:hAnsi="Sylfaen"/>
                <w:sz w:val="18"/>
              </w:rPr>
              <w:t>4,</w:t>
            </w:r>
            <w:r>
              <w:rPr>
                <w:rFonts w:ascii="Sylfaen" w:hAnsi="Sylfaen"/>
                <w:sz w:val="18"/>
                <w:lang w:val="ka-GE"/>
              </w:rPr>
              <w:t>500.</w:t>
            </w:r>
            <w:r w:rsidRPr="0056170B">
              <w:rPr>
                <w:rFonts w:ascii="Sylfaen" w:hAnsi="Sylfaen"/>
                <w:sz w:val="18"/>
              </w:rPr>
              <w:t>0</w:t>
            </w:r>
          </w:p>
        </w:tc>
        <w:tc>
          <w:tcPr>
            <w:tcW w:w="555"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6,</w:t>
            </w:r>
            <w:r w:rsidRPr="007B1FDE">
              <w:rPr>
                <w:rFonts w:ascii="Sylfaen" w:hAnsi="Sylfaen"/>
                <w:sz w:val="18"/>
              </w:rPr>
              <w:t>4</w:t>
            </w:r>
            <w:r>
              <w:rPr>
                <w:rFonts w:ascii="Sylfaen" w:hAnsi="Sylfaen"/>
                <w:sz w:val="18"/>
                <w:lang w:val="ka-GE"/>
              </w:rPr>
              <w:t>00.</w:t>
            </w:r>
            <w:r w:rsidRPr="0056170B">
              <w:rPr>
                <w:rFonts w:ascii="Sylfaen" w:hAnsi="Sylfaen"/>
                <w:sz w:val="18"/>
              </w:rPr>
              <w:t>0</w:t>
            </w:r>
          </w:p>
        </w:tc>
        <w:tc>
          <w:tcPr>
            <w:tcW w:w="555" w:type="pct"/>
          </w:tcPr>
          <w:p w:rsidR="00F844D7" w:rsidRPr="00D225FA" w:rsidRDefault="00F844D7" w:rsidP="004146A8">
            <w:pPr>
              <w:spacing w:after="0" w:line="240" w:lineRule="auto"/>
              <w:jc w:val="center"/>
              <w:rPr>
                <w:rFonts w:ascii="Sylfaen" w:hAnsi="Sylfaen"/>
                <w:sz w:val="18"/>
                <w:lang w:val="ka-GE"/>
              </w:rPr>
            </w:pPr>
            <w:r>
              <w:rPr>
                <w:rFonts w:ascii="Sylfaen" w:hAnsi="Sylfaen"/>
                <w:sz w:val="18"/>
                <w:lang w:val="ka-GE"/>
              </w:rPr>
              <w:t>28,490.0</w:t>
            </w:r>
          </w:p>
        </w:tc>
      </w:tr>
      <w:tr w:rsidR="00F844D7" w:rsidRPr="00B05A47" w:rsidTr="00DC424F">
        <w:trPr>
          <w:trHeight w:val="113"/>
          <w:jc w:val="center"/>
        </w:trPr>
        <w:tc>
          <w:tcPr>
            <w:tcW w:w="1357" w:type="pct"/>
            <w:shd w:val="clear" w:color="auto" w:fill="auto"/>
            <w:vAlign w:val="center"/>
            <w:hideMark/>
          </w:tcPr>
          <w:p w:rsidR="00F844D7" w:rsidRPr="00B05A47" w:rsidRDefault="00F844D7" w:rsidP="004146A8">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64"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sidRPr="007C3878">
              <w:rPr>
                <w:rFonts w:ascii="Sylfaen" w:hAnsi="Sylfaen"/>
                <w:sz w:val="18"/>
              </w:rPr>
              <w:t xml:space="preserve"> </w:t>
            </w:r>
            <w:r>
              <w:rPr>
                <w:rFonts w:ascii="Sylfaen" w:hAnsi="Sylfaen"/>
                <w:sz w:val="18"/>
                <w:lang w:val="ka-GE"/>
              </w:rPr>
              <w:t>16</w:t>
            </w:r>
            <w:r w:rsidRPr="007C3878">
              <w:rPr>
                <w:rFonts w:ascii="Sylfaen" w:hAnsi="Sylfaen"/>
                <w:sz w:val="18"/>
              </w:rPr>
              <w:t>0</w:t>
            </w:r>
            <w:r>
              <w:rPr>
                <w:rFonts w:ascii="Sylfaen" w:hAnsi="Sylfaen"/>
                <w:sz w:val="18"/>
                <w:lang w:val="ka-GE"/>
              </w:rPr>
              <w:t>.</w:t>
            </w:r>
            <w:r>
              <w:rPr>
                <w:rFonts w:ascii="Sylfaen" w:hAnsi="Sylfaen"/>
                <w:sz w:val="18"/>
              </w:rPr>
              <w:t>6</w:t>
            </w:r>
          </w:p>
        </w:tc>
        <w:tc>
          <w:tcPr>
            <w:tcW w:w="858" w:type="pct"/>
            <w:shd w:val="clear" w:color="auto" w:fill="auto"/>
            <w:hideMark/>
          </w:tcPr>
          <w:p w:rsidR="00F844D7" w:rsidRPr="004323F7" w:rsidRDefault="00F844D7" w:rsidP="004146A8">
            <w:pPr>
              <w:spacing w:after="0" w:line="240" w:lineRule="auto"/>
              <w:jc w:val="center"/>
              <w:rPr>
                <w:rFonts w:ascii="Sylfaen" w:eastAsia="Times New Roman" w:hAnsi="Sylfaen" w:cs="Arial"/>
                <w:color w:val="000000"/>
                <w:sz w:val="18"/>
                <w:szCs w:val="18"/>
              </w:rPr>
            </w:pPr>
            <w:r>
              <w:rPr>
                <w:rFonts w:ascii="Sylfaen" w:hAnsi="Sylfaen"/>
                <w:sz w:val="18"/>
                <w:lang w:val="ka-GE"/>
              </w:rPr>
              <w:t>410.</w:t>
            </w:r>
            <w:r w:rsidRPr="0056170B">
              <w:rPr>
                <w:rFonts w:ascii="Sylfaen" w:hAnsi="Sylfaen"/>
                <w:sz w:val="18"/>
              </w:rPr>
              <w:t>0</w:t>
            </w:r>
          </w:p>
        </w:tc>
        <w:tc>
          <w:tcPr>
            <w:tcW w:w="555"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Pr>
                <w:rFonts w:ascii="Sylfaen" w:hAnsi="Sylfaen"/>
                <w:sz w:val="18"/>
                <w:lang w:val="ka-GE"/>
              </w:rPr>
              <w:t>724.</w:t>
            </w:r>
            <w:r w:rsidRPr="0056170B">
              <w:rPr>
                <w:rFonts w:ascii="Sylfaen" w:hAnsi="Sylfaen"/>
                <w:sz w:val="18"/>
              </w:rPr>
              <w:t>0</w:t>
            </w:r>
          </w:p>
        </w:tc>
        <w:tc>
          <w:tcPr>
            <w:tcW w:w="555" w:type="pct"/>
            <w:shd w:val="clear" w:color="auto" w:fill="auto"/>
            <w:hideMark/>
          </w:tcPr>
          <w:p w:rsidR="00F844D7" w:rsidRPr="007C3878" w:rsidRDefault="00F844D7" w:rsidP="004146A8">
            <w:pPr>
              <w:spacing w:after="0" w:line="240" w:lineRule="auto"/>
              <w:jc w:val="center"/>
              <w:rPr>
                <w:rFonts w:ascii="Sylfaen" w:eastAsia="Times New Roman" w:hAnsi="Sylfaen" w:cs="Arial"/>
                <w:color w:val="000000"/>
                <w:sz w:val="18"/>
                <w:szCs w:val="18"/>
              </w:rPr>
            </w:pPr>
            <w:r>
              <w:rPr>
                <w:rFonts w:ascii="Sylfaen" w:hAnsi="Sylfaen"/>
                <w:sz w:val="18"/>
                <w:lang w:val="ka-GE"/>
              </w:rPr>
              <w:t>706.</w:t>
            </w:r>
            <w:r w:rsidRPr="0056170B">
              <w:rPr>
                <w:rFonts w:ascii="Sylfaen" w:hAnsi="Sylfaen"/>
                <w:sz w:val="18"/>
              </w:rPr>
              <w:t>0</w:t>
            </w:r>
          </w:p>
        </w:tc>
        <w:tc>
          <w:tcPr>
            <w:tcW w:w="555" w:type="pct"/>
            <w:shd w:val="clear" w:color="auto" w:fill="auto"/>
            <w:vAlign w:val="center"/>
            <w:hideMark/>
          </w:tcPr>
          <w:p w:rsidR="00F844D7" w:rsidRPr="00B05A47" w:rsidRDefault="00F844D7" w:rsidP="004146A8">
            <w:pPr>
              <w:spacing w:after="0" w:line="240" w:lineRule="auto"/>
              <w:jc w:val="center"/>
              <w:rPr>
                <w:rFonts w:ascii="Calibri" w:eastAsia="Times New Roman" w:hAnsi="Calibri" w:cs="Calibri"/>
                <w:sz w:val="18"/>
                <w:szCs w:val="18"/>
              </w:rPr>
            </w:pPr>
            <w:r>
              <w:rPr>
                <w:rFonts w:ascii="Sylfaen" w:eastAsia="Times New Roman" w:hAnsi="Sylfaen" w:cs="Calibri"/>
                <w:sz w:val="18"/>
                <w:szCs w:val="18"/>
                <w:lang w:val="ka-GE"/>
              </w:rPr>
              <w:t>696.0</w:t>
            </w:r>
          </w:p>
        </w:tc>
        <w:tc>
          <w:tcPr>
            <w:tcW w:w="555" w:type="pct"/>
          </w:tcPr>
          <w:p w:rsidR="00F844D7" w:rsidRPr="00B05A47" w:rsidRDefault="00F844D7" w:rsidP="004146A8">
            <w:pPr>
              <w:spacing w:after="0" w:line="240" w:lineRule="auto"/>
              <w:jc w:val="center"/>
              <w:rPr>
                <w:rFonts w:ascii="Calibri" w:eastAsia="Times New Roman" w:hAnsi="Calibri" w:cs="Calibri"/>
                <w:sz w:val="18"/>
                <w:szCs w:val="18"/>
              </w:rPr>
            </w:pPr>
          </w:p>
        </w:tc>
      </w:tr>
      <w:tr w:rsidR="00F844D7" w:rsidRPr="00B05A47" w:rsidTr="00DC424F">
        <w:trPr>
          <w:trHeight w:val="113"/>
          <w:jc w:val="center"/>
        </w:trPr>
        <w:tc>
          <w:tcPr>
            <w:tcW w:w="1357" w:type="pct"/>
            <w:shd w:val="clear" w:color="auto" w:fill="auto"/>
            <w:vAlign w:val="center"/>
            <w:hideMark/>
          </w:tcPr>
          <w:p w:rsidR="00F844D7" w:rsidRPr="00B05A47" w:rsidRDefault="00F844D7" w:rsidP="004146A8">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564" w:type="pct"/>
            <w:shd w:val="clear" w:color="auto" w:fill="auto"/>
            <w:vAlign w:val="bottom"/>
            <w:hideMark/>
          </w:tcPr>
          <w:p w:rsidR="00F844D7" w:rsidRPr="002F15FC" w:rsidRDefault="00F844D7" w:rsidP="004146A8">
            <w:pPr>
              <w:spacing w:after="0" w:line="240" w:lineRule="auto"/>
              <w:jc w:val="center"/>
              <w:rPr>
                <w:rFonts w:ascii="Sylfaen" w:eastAsia="Times New Roman" w:hAnsi="Sylfaen" w:cs="Arial"/>
                <w:color w:val="000000"/>
                <w:sz w:val="18"/>
                <w:szCs w:val="18"/>
              </w:rPr>
            </w:pPr>
            <w:r w:rsidRPr="00D225FA">
              <w:rPr>
                <w:rFonts w:ascii="Sylfaen" w:hAnsi="Sylfaen" w:cs="Arial"/>
                <w:sz w:val="18"/>
                <w:szCs w:val="18"/>
              </w:rPr>
              <w:t>35.9</w:t>
            </w:r>
          </w:p>
        </w:tc>
        <w:tc>
          <w:tcPr>
            <w:tcW w:w="858" w:type="pct"/>
            <w:shd w:val="clear" w:color="auto" w:fill="auto"/>
            <w:vAlign w:val="bottom"/>
            <w:hideMark/>
          </w:tcPr>
          <w:p w:rsidR="00F844D7" w:rsidRPr="002F15FC" w:rsidRDefault="00F844D7" w:rsidP="004146A8">
            <w:pPr>
              <w:spacing w:after="0" w:line="240" w:lineRule="auto"/>
              <w:jc w:val="center"/>
              <w:rPr>
                <w:rFonts w:ascii="Sylfaen" w:eastAsia="Times New Roman" w:hAnsi="Sylfaen" w:cs="Arial"/>
                <w:color w:val="000000"/>
                <w:sz w:val="18"/>
                <w:szCs w:val="18"/>
              </w:rPr>
            </w:pPr>
            <w:r w:rsidRPr="00D225FA">
              <w:rPr>
                <w:rFonts w:ascii="Sylfaen" w:hAnsi="Sylfaen" w:cs="Arial"/>
                <w:sz w:val="18"/>
                <w:szCs w:val="18"/>
              </w:rPr>
              <w:t>210.0</w:t>
            </w:r>
          </w:p>
        </w:tc>
        <w:tc>
          <w:tcPr>
            <w:tcW w:w="555" w:type="pct"/>
            <w:shd w:val="clear" w:color="auto" w:fill="auto"/>
            <w:vAlign w:val="bottom"/>
            <w:hideMark/>
          </w:tcPr>
          <w:p w:rsidR="00F844D7" w:rsidRPr="002F15FC" w:rsidRDefault="00F844D7" w:rsidP="004146A8">
            <w:pPr>
              <w:spacing w:after="0" w:line="240" w:lineRule="auto"/>
              <w:jc w:val="center"/>
              <w:rPr>
                <w:rFonts w:ascii="Sylfaen" w:eastAsia="Times New Roman" w:hAnsi="Sylfaen" w:cs="Arial"/>
                <w:color w:val="000000"/>
                <w:sz w:val="18"/>
                <w:szCs w:val="18"/>
              </w:rPr>
            </w:pPr>
            <w:r w:rsidRPr="00D225FA">
              <w:rPr>
                <w:rFonts w:ascii="Sylfaen" w:hAnsi="Sylfaen" w:cs="Arial"/>
                <w:sz w:val="18"/>
                <w:szCs w:val="18"/>
              </w:rPr>
              <w:t>484.0</w:t>
            </w:r>
          </w:p>
        </w:tc>
        <w:tc>
          <w:tcPr>
            <w:tcW w:w="555" w:type="pct"/>
            <w:shd w:val="clear" w:color="auto" w:fill="auto"/>
            <w:vAlign w:val="bottom"/>
            <w:hideMark/>
          </w:tcPr>
          <w:p w:rsidR="00F844D7" w:rsidRPr="002F15FC" w:rsidRDefault="00F844D7" w:rsidP="004146A8">
            <w:pPr>
              <w:spacing w:after="0" w:line="240" w:lineRule="auto"/>
              <w:jc w:val="center"/>
              <w:rPr>
                <w:rFonts w:ascii="Sylfaen" w:eastAsia="Times New Roman" w:hAnsi="Sylfaen" w:cs="Arial"/>
                <w:color w:val="000000"/>
                <w:sz w:val="18"/>
                <w:szCs w:val="18"/>
              </w:rPr>
            </w:pPr>
            <w:r w:rsidRPr="00D225FA">
              <w:rPr>
                <w:rFonts w:ascii="Sylfaen" w:hAnsi="Sylfaen" w:cs="Arial"/>
                <w:sz w:val="18"/>
                <w:szCs w:val="18"/>
              </w:rPr>
              <w:t>466.0</w:t>
            </w:r>
          </w:p>
        </w:tc>
        <w:tc>
          <w:tcPr>
            <w:tcW w:w="555" w:type="pct"/>
            <w:shd w:val="clear" w:color="auto" w:fill="auto"/>
            <w:vAlign w:val="center"/>
            <w:hideMark/>
          </w:tcPr>
          <w:p w:rsidR="00F844D7" w:rsidRPr="00D225FA" w:rsidRDefault="00F844D7" w:rsidP="004146A8">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466.0</w:t>
            </w:r>
          </w:p>
        </w:tc>
        <w:tc>
          <w:tcPr>
            <w:tcW w:w="555" w:type="pct"/>
          </w:tcPr>
          <w:p w:rsidR="00F844D7" w:rsidRPr="00D225FA" w:rsidRDefault="00F844D7" w:rsidP="004146A8">
            <w:pPr>
              <w:spacing w:after="0" w:line="240" w:lineRule="auto"/>
              <w:jc w:val="center"/>
              <w:rPr>
                <w:rFonts w:ascii="Sylfaen" w:eastAsia="Times New Roman" w:hAnsi="Sylfaen" w:cs="Calibri"/>
                <w:sz w:val="18"/>
                <w:szCs w:val="18"/>
              </w:rPr>
            </w:pPr>
          </w:p>
        </w:tc>
      </w:tr>
      <w:tr w:rsidR="00F844D7" w:rsidRPr="00B05A47" w:rsidTr="00DC424F">
        <w:trPr>
          <w:trHeight w:val="113"/>
          <w:jc w:val="center"/>
        </w:trPr>
        <w:tc>
          <w:tcPr>
            <w:tcW w:w="1357" w:type="pct"/>
            <w:shd w:val="clear" w:color="auto" w:fill="auto"/>
            <w:vAlign w:val="center"/>
            <w:hideMark/>
          </w:tcPr>
          <w:p w:rsidR="00F844D7" w:rsidRPr="00B05A47" w:rsidRDefault="00F844D7" w:rsidP="004146A8">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564" w:type="pct"/>
            <w:shd w:val="clear" w:color="auto" w:fill="auto"/>
            <w:vAlign w:val="bottom"/>
            <w:hideMark/>
          </w:tcPr>
          <w:p w:rsidR="00F844D7" w:rsidRPr="00344786"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21,678.0</w:t>
            </w:r>
          </w:p>
        </w:tc>
        <w:tc>
          <w:tcPr>
            <w:tcW w:w="858" w:type="pct"/>
            <w:shd w:val="clear" w:color="auto" w:fill="auto"/>
            <w:vAlign w:val="bottom"/>
            <w:hideMark/>
          </w:tcPr>
          <w:p w:rsidR="00F844D7" w:rsidRPr="00344786"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23,536.0</w:t>
            </w:r>
          </w:p>
        </w:tc>
        <w:tc>
          <w:tcPr>
            <w:tcW w:w="555" w:type="pct"/>
            <w:shd w:val="clear" w:color="auto" w:fill="auto"/>
            <w:vAlign w:val="bottom"/>
            <w:hideMark/>
          </w:tcPr>
          <w:p w:rsidR="00F844D7" w:rsidRPr="00344786"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24,274.0</w:t>
            </w:r>
          </w:p>
        </w:tc>
        <w:tc>
          <w:tcPr>
            <w:tcW w:w="555" w:type="pct"/>
            <w:shd w:val="clear" w:color="auto" w:fill="auto"/>
            <w:vAlign w:val="bottom"/>
            <w:hideMark/>
          </w:tcPr>
          <w:p w:rsidR="00F844D7" w:rsidRPr="00344786"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26,142.0</w:t>
            </w:r>
          </w:p>
        </w:tc>
        <w:tc>
          <w:tcPr>
            <w:tcW w:w="555" w:type="pct"/>
            <w:shd w:val="clear" w:color="auto" w:fill="auto"/>
            <w:vAlign w:val="bottom"/>
            <w:hideMark/>
          </w:tcPr>
          <w:p w:rsidR="00F844D7" w:rsidRPr="00D225FA" w:rsidRDefault="00F844D7" w:rsidP="004146A8">
            <w:pPr>
              <w:spacing w:after="0" w:line="240" w:lineRule="auto"/>
              <w:jc w:val="center"/>
              <w:rPr>
                <w:rFonts w:ascii="Sylfaen" w:eastAsia="Times New Roman" w:hAnsi="Sylfaen" w:cs="Calibri"/>
                <w:sz w:val="18"/>
                <w:szCs w:val="18"/>
              </w:rPr>
            </w:pPr>
            <w:r w:rsidRPr="00D225FA">
              <w:rPr>
                <w:rFonts w:ascii="Sylfaen" w:hAnsi="Sylfaen" w:cs="Arial"/>
                <w:bCs/>
                <w:sz w:val="18"/>
                <w:szCs w:val="18"/>
              </w:rPr>
              <w:t>28,047.0</w:t>
            </w:r>
          </w:p>
        </w:tc>
        <w:tc>
          <w:tcPr>
            <w:tcW w:w="555" w:type="pct"/>
          </w:tcPr>
          <w:p w:rsidR="00F844D7" w:rsidRPr="00B05A47" w:rsidRDefault="00F844D7" w:rsidP="004146A8">
            <w:pPr>
              <w:spacing w:after="0" w:line="240" w:lineRule="auto"/>
              <w:jc w:val="center"/>
              <w:rPr>
                <w:rFonts w:ascii="Calibri" w:eastAsia="Times New Roman" w:hAnsi="Calibri" w:cs="Calibri"/>
                <w:sz w:val="18"/>
                <w:szCs w:val="18"/>
              </w:rPr>
            </w:pPr>
          </w:p>
        </w:tc>
      </w:tr>
      <w:tr w:rsidR="00F844D7" w:rsidRPr="00B05A47" w:rsidTr="00DC424F">
        <w:trPr>
          <w:trHeight w:val="113"/>
          <w:jc w:val="center"/>
        </w:trPr>
        <w:tc>
          <w:tcPr>
            <w:tcW w:w="1357" w:type="pct"/>
            <w:shd w:val="clear" w:color="auto" w:fill="auto"/>
            <w:vAlign w:val="center"/>
            <w:hideMark/>
          </w:tcPr>
          <w:p w:rsidR="00F844D7" w:rsidRPr="00B05A47" w:rsidRDefault="00F844D7" w:rsidP="004146A8">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w:t>
            </w:r>
            <w:r>
              <w:rPr>
                <w:rFonts w:ascii="Sylfaen" w:eastAsia="Times New Roman" w:hAnsi="Sylfaen" w:cs="Arial"/>
                <w:color w:val="000000"/>
                <w:sz w:val="18"/>
                <w:szCs w:val="18"/>
                <w:lang w:val="ka-GE"/>
              </w:rPr>
              <w:t xml:space="preserve"> ზრდის</w:t>
            </w:r>
            <w:r w:rsidRPr="00B05A47">
              <w:rPr>
                <w:rFonts w:ascii="Sylfaen" w:eastAsia="Times New Roman" w:hAnsi="Sylfaen" w:cs="Arial"/>
                <w:color w:val="000000"/>
                <w:sz w:val="18"/>
                <w:szCs w:val="18"/>
              </w:rPr>
              <w:t xml:space="preserve"> ახალი პროგნოზი</w:t>
            </w:r>
          </w:p>
        </w:tc>
        <w:tc>
          <w:tcPr>
            <w:tcW w:w="564" w:type="pct"/>
            <w:shd w:val="clear" w:color="auto" w:fill="auto"/>
            <w:vAlign w:val="bottom"/>
            <w:hideMark/>
          </w:tcPr>
          <w:p w:rsidR="00F844D7" w:rsidRPr="00BA560B"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21,579.1</w:t>
            </w:r>
          </w:p>
        </w:tc>
        <w:tc>
          <w:tcPr>
            <w:tcW w:w="858" w:type="pct"/>
            <w:shd w:val="clear" w:color="auto" w:fill="auto"/>
            <w:vAlign w:val="bottom"/>
            <w:hideMark/>
          </w:tcPr>
          <w:p w:rsidR="00F844D7" w:rsidRPr="00BA560B"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23,853.0</w:t>
            </w:r>
          </w:p>
        </w:tc>
        <w:tc>
          <w:tcPr>
            <w:tcW w:w="555" w:type="pct"/>
            <w:shd w:val="clear" w:color="auto" w:fill="auto"/>
            <w:vAlign w:val="bottom"/>
            <w:hideMark/>
          </w:tcPr>
          <w:p w:rsidR="00F844D7" w:rsidRPr="00BA560B"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25,125.0</w:t>
            </w:r>
          </w:p>
        </w:tc>
        <w:tc>
          <w:tcPr>
            <w:tcW w:w="555" w:type="pct"/>
            <w:shd w:val="clear" w:color="auto" w:fill="auto"/>
            <w:vAlign w:val="bottom"/>
            <w:hideMark/>
          </w:tcPr>
          <w:p w:rsidR="00F844D7" w:rsidRPr="00BA560B"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26,790.0</w:t>
            </w:r>
          </w:p>
        </w:tc>
        <w:tc>
          <w:tcPr>
            <w:tcW w:w="555" w:type="pct"/>
            <w:shd w:val="clear" w:color="auto" w:fill="auto"/>
            <w:vAlign w:val="bottom"/>
            <w:hideMark/>
          </w:tcPr>
          <w:p w:rsidR="00F844D7" w:rsidRPr="00BA560B"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28,714.0</w:t>
            </w:r>
          </w:p>
        </w:tc>
        <w:tc>
          <w:tcPr>
            <w:tcW w:w="555" w:type="pct"/>
            <w:vAlign w:val="bottom"/>
          </w:tcPr>
          <w:p w:rsidR="00F844D7" w:rsidRPr="00092F2E" w:rsidRDefault="00F844D7" w:rsidP="004146A8">
            <w:pPr>
              <w:spacing w:after="0" w:line="240" w:lineRule="auto"/>
              <w:jc w:val="center"/>
              <w:rPr>
                <w:rFonts w:ascii="Sylfaen" w:hAnsi="Sylfaen"/>
                <w:sz w:val="18"/>
                <w:szCs w:val="18"/>
              </w:rPr>
            </w:pPr>
            <w:r w:rsidRPr="00D225FA">
              <w:rPr>
                <w:rFonts w:ascii="Sylfaen" w:hAnsi="Sylfaen" w:cs="Arial"/>
                <w:bCs/>
                <w:sz w:val="18"/>
                <w:szCs w:val="18"/>
              </w:rPr>
              <w:t>30,921.0</w:t>
            </w:r>
          </w:p>
        </w:tc>
      </w:tr>
      <w:tr w:rsidR="00F844D7" w:rsidRPr="00B05A47" w:rsidTr="00DC424F">
        <w:trPr>
          <w:trHeight w:val="113"/>
          <w:jc w:val="center"/>
        </w:trPr>
        <w:tc>
          <w:tcPr>
            <w:tcW w:w="1357" w:type="pct"/>
            <w:shd w:val="clear" w:color="auto" w:fill="auto"/>
            <w:vAlign w:val="center"/>
            <w:hideMark/>
          </w:tcPr>
          <w:p w:rsidR="00F844D7" w:rsidRPr="00B05A47" w:rsidRDefault="00F844D7" w:rsidP="004146A8">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64" w:type="pct"/>
            <w:shd w:val="clear" w:color="auto" w:fill="auto"/>
            <w:vAlign w:val="bottom"/>
            <w:hideMark/>
          </w:tcPr>
          <w:p w:rsidR="00F844D7" w:rsidRPr="00BB5711"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-98.9</w:t>
            </w:r>
          </w:p>
        </w:tc>
        <w:tc>
          <w:tcPr>
            <w:tcW w:w="858" w:type="pct"/>
            <w:shd w:val="clear" w:color="auto" w:fill="auto"/>
            <w:vAlign w:val="bottom"/>
            <w:hideMark/>
          </w:tcPr>
          <w:p w:rsidR="00F844D7" w:rsidRPr="00BB5711"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317.0</w:t>
            </w:r>
          </w:p>
        </w:tc>
        <w:tc>
          <w:tcPr>
            <w:tcW w:w="555" w:type="pct"/>
            <w:shd w:val="clear" w:color="auto" w:fill="auto"/>
            <w:vAlign w:val="bottom"/>
            <w:hideMark/>
          </w:tcPr>
          <w:p w:rsidR="00F844D7" w:rsidRPr="00BB5711"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851.0</w:t>
            </w:r>
          </w:p>
        </w:tc>
        <w:tc>
          <w:tcPr>
            <w:tcW w:w="555" w:type="pct"/>
            <w:shd w:val="clear" w:color="auto" w:fill="auto"/>
            <w:vAlign w:val="bottom"/>
            <w:hideMark/>
          </w:tcPr>
          <w:p w:rsidR="00F844D7" w:rsidRPr="00BB5711"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648.0</w:t>
            </w:r>
          </w:p>
        </w:tc>
        <w:tc>
          <w:tcPr>
            <w:tcW w:w="555" w:type="pct"/>
            <w:shd w:val="clear" w:color="auto" w:fill="auto"/>
            <w:vAlign w:val="bottom"/>
            <w:hideMark/>
          </w:tcPr>
          <w:p w:rsidR="00F844D7" w:rsidRPr="00092F2E" w:rsidRDefault="00F844D7" w:rsidP="004146A8">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667.0</w:t>
            </w:r>
          </w:p>
        </w:tc>
        <w:tc>
          <w:tcPr>
            <w:tcW w:w="555" w:type="pct"/>
          </w:tcPr>
          <w:p w:rsidR="00F844D7" w:rsidRPr="00B05A47" w:rsidRDefault="00F844D7" w:rsidP="004146A8">
            <w:pPr>
              <w:spacing w:after="0" w:line="240" w:lineRule="auto"/>
              <w:jc w:val="center"/>
              <w:rPr>
                <w:rFonts w:ascii="Sylfaen" w:eastAsia="Times New Roman" w:hAnsi="Sylfaen" w:cs="Arial"/>
                <w:bCs/>
                <w:color w:val="000000"/>
                <w:sz w:val="18"/>
                <w:szCs w:val="18"/>
              </w:rPr>
            </w:pPr>
          </w:p>
        </w:tc>
      </w:tr>
    </w:tbl>
    <w:p w:rsidR="00F844D7" w:rsidRDefault="00F844D7" w:rsidP="00F844D7">
      <w:pPr>
        <w:spacing w:after="0" w:line="276" w:lineRule="auto"/>
        <w:ind w:firstLine="567"/>
        <w:jc w:val="both"/>
        <w:rPr>
          <w:rFonts w:ascii="Sylfaen" w:hAnsi="Sylfaen"/>
          <w:lang w:val="ka-GE"/>
        </w:rPr>
      </w:pPr>
    </w:p>
    <w:p w:rsidR="00F844D7" w:rsidRPr="00E94AC6" w:rsidRDefault="00F844D7" w:rsidP="00F844D7">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w:t>
      </w:r>
    </w:p>
    <w:p w:rsidR="00F844D7" w:rsidRDefault="00F844D7" w:rsidP="00F844D7">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w:t>
      </w:r>
      <w:r>
        <w:rPr>
          <w:rFonts w:ascii="Sylfaen" w:hAnsi="Sylfaen"/>
          <w:color w:val="000000" w:themeColor="text1"/>
        </w:rPr>
        <w:t>2</w:t>
      </w:r>
      <w:r w:rsidRPr="00E94AC6">
        <w:rPr>
          <w:rFonts w:ascii="Sylfaen" w:hAnsi="Sylfaen"/>
          <w:color w:val="000000" w:themeColor="text1"/>
          <w:lang w:val="ka-GE"/>
        </w:rPr>
        <w:t xml:space="preserve">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w:t>
      </w:r>
      <w:r>
        <w:rPr>
          <w:rFonts w:ascii="Sylfaen" w:hAnsi="Sylfaen"/>
          <w:color w:val="000000" w:themeColor="text1"/>
          <w:lang w:val="ka-GE"/>
        </w:rPr>
        <w:t>ა</w:t>
      </w:r>
      <w:r w:rsidRPr="00E94AC6">
        <w:rPr>
          <w:rFonts w:ascii="Sylfaen" w:hAnsi="Sylfaen"/>
          <w:color w:val="000000" w:themeColor="text1"/>
          <w:lang w:val="ka-GE"/>
        </w:rPr>
        <w:t xml:space="preserve"> და მწარმოებლური სექტორების დაფინანსებ</w:t>
      </w:r>
      <w:r>
        <w:rPr>
          <w:rFonts w:ascii="Sylfaen" w:hAnsi="Sylfaen"/>
          <w:color w:val="000000" w:themeColor="text1"/>
          <w:lang w:val="ka-GE"/>
        </w:rPr>
        <w:t>ი</w:t>
      </w:r>
      <w:r w:rsidRPr="00E94AC6">
        <w:rPr>
          <w:rFonts w:ascii="Sylfaen" w:hAnsi="Sylfaen"/>
          <w:color w:val="000000" w:themeColor="text1"/>
          <w:lang w:val="ka-GE"/>
        </w:rPr>
        <w:t>ს</w:t>
      </w:r>
      <w:r>
        <w:rPr>
          <w:rFonts w:ascii="Sylfaen" w:hAnsi="Sylfaen"/>
          <w:color w:val="000000" w:themeColor="text1"/>
          <w:lang w:val="ka-GE"/>
        </w:rPr>
        <w:t xml:space="preserve"> გაგრძელებას.</w:t>
      </w:r>
    </w:p>
    <w:p w:rsidR="00F844D7" w:rsidRDefault="00F844D7" w:rsidP="00F844D7">
      <w:pPr>
        <w:spacing w:after="0" w:line="276" w:lineRule="auto"/>
        <w:ind w:firstLine="567"/>
        <w:jc w:val="both"/>
        <w:rPr>
          <w:rFonts w:ascii="Sylfaen" w:hAnsi="Sylfaen"/>
          <w:color w:val="000000" w:themeColor="text1"/>
          <w:lang w:val="ka-GE"/>
        </w:rPr>
      </w:pPr>
    </w:p>
    <w:p w:rsidR="00F844D7" w:rsidRDefault="00F844D7" w:rsidP="00F844D7">
      <w:pPr>
        <w:spacing w:after="0" w:line="276" w:lineRule="auto"/>
        <w:jc w:val="both"/>
        <w:rPr>
          <w:rFonts w:ascii="Sylfaen" w:eastAsia="Times New Roman" w:hAnsi="Sylfaen" w:cs="Calibri"/>
          <w:b/>
          <w:bCs/>
          <w:color w:val="000000" w:themeColor="text1"/>
          <w:sz w:val="20"/>
          <w:szCs w:val="20"/>
          <w:lang w:val="ka-GE"/>
        </w:rPr>
      </w:pPr>
    </w:p>
    <w:p w:rsidR="00F844D7" w:rsidRDefault="00F844D7" w:rsidP="00F844D7">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p w:rsidR="00AD4464" w:rsidRDefault="00AD4464" w:rsidP="00F844D7">
      <w:pPr>
        <w:spacing w:after="0" w:line="276" w:lineRule="auto"/>
        <w:jc w:val="both"/>
        <w:rPr>
          <w:rFonts w:ascii="Sylfaen" w:eastAsia="Times New Roman" w:hAnsi="Sylfaen" w:cs="Calibri"/>
          <w:b/>
          <w:bCs/>
          <w:color w:val="000000" w:themeColor="text1"/>
          <w:sz w:val="20"/>
          <w:szCs w:val="20"/>
          <w:lang w:val="ka-GE"/>
        </w:rPr>
      </w:pPr>
    </w:p>
    <w:tbl>
      <w:tblPr>
        <w:tblW w:w="4523"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539"/>
        <w:gridCol w:w="1075"/>
        <w:gridCol w:w="1109"/>
        <w:gridCol w:w="1231"/>
        <w:gridCol w:w="1133"/>
        <w:gridCol w:w="1133"/>
        <w:gridCol w:w="1131"/>
      </w:tblGrid>
      <w:tr w:rsidR="00AD4464" w:rsidRPr="00291443" w:rsidTr="00DC424F">
        <w:trPr>
          <w:trHeight w:val="113"/>
          <w:jc w:val="center"/>
        </w:trPr>
        <w:tc>
          <w:tcPr>
            <w:tcW w:w="1357" w:type="pct"/>
            <w:shd w:val="clear" w:color="auto" w:fill="auto"/>
            <w:vAlign w:val="center"/>
          </w:tcPr>
          <w:p w:rsidR="00F844D7" w:rsidRPr="00291443" w:rsidRDefault="00F844D7" w:rsidP="004146A8">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575" w:type="pct"/>
            <w:shd w:val="clear" w:color="auto" w:fill="auto"/>
            <w:noWrap/>
            <w:vAlign w:val="center"/>
          </w:tcPr>
          <w:p w:rsidR="00F844D7" w:rsidRPr="00291443" w:rsidRDefault="00F844D7" w:rsidP="004146A8">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2022 </w:t>
            </w:r>
            <w:r>
              <w:rPr>
                <w:rFonts w:ascii="Sylfaen" w:eastAsia="Times New Roman" w:hAnsi="Sylfaen" w:cs="Arial"/>
                <w:b/>
                <w:sz w:val="16"/>
                <w:szCs w:val="18"/>
                <w:lang w:val="ka-GE"/>
              </w:rPr>
              <w:t>ფაქტი</w:t>
            </w:r>
          </w:p>
        </w:tc>
        <w:tc>
          <w:tcPr>
            <w:tcW w:w="593" w:type="pct"/>
            <w:shd w:val="clear" w:color="auto" w:fill="auto"/>
            <w:noWrap/>
            <w:vAlign w:val="center"/>
          </w:tcPr>
          <w:p w:rsidR="00F844D7" w:rsidRPr="00291443" w:rsidRDefault="00F844D7" w:rsidP="004146A8">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2023 </w:t>
            </w:r>
            <w:r>
              <w:rPr>
                <w:rFonts w:ascii="Sylfaen" w:eastAsia="Times New Roman" w:hAnsi="Sylfaen" w:cs="Arial"/>
                <w:b/>
                <w:sz w:val="16"/>
                <w:szCs w:val="18"/>
                <w:lang w:val="ka-GE"/>
              </w:rPr>
              <w:t>მოსალ.</w:t>
            </w:r>
          </w:p>
        </w:tc>
        <w:tc>
          <w:tcPr>
            <w:tcW w:w="658" w:type="pct"/>
            <w:shd w:val="clear" w:color="auto" w:fill="auto"/>
            <w:noWrap/>
            <w:vAlign w:val="center"/>
          </w:tcPr>
          <w:p w:rsidR="00F844D7" w:rsidRPr="00291443" w:rsidRDefault="00F844D7" w:rsidP="004146A8">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w:t>
            </w:r>
            <w:r>
              <w:rPr>
                <w:rFonts w:ascii="Sylfaen" w:eastAsia="Times New Roman" w:hAnsi="Sylfaen" w:cs="Arial"/>
                <w:b/>
                <w:sz w:val="16"/>
                <w:szCs w:val="18"/>
                <w:lang w:val="ka-GE"/>
              </w:rPr>
              <w:t>.</w:t>
            </w:r>
          </w:p>
        </w:tc>
        <w:tc>
          <w:tcPr>
            <w:tcW w:w="606" w:type="pct"/>
            <w:vAlign w:val="center"/>
          </w:tcPr>
          <w:p w:rsidR="00F844D7" w:rsidRPr="00291443" w:rsidRDefault="00F844D7" w:rsidP="004146A8">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w:t>
            </w:r>
            <w:r>
              <w:rPr>
                <w:rFonts w:ascii="Sylfaen" w:eastAsia="Times New Roman" w:hAnsi="Sylfaen" w:cs="Arial"/>
                <w:b/>
                <w:sz w:val="16"/>
                <w:szCs w:val="18"/>
                <w:lang w:val="ka-GE"/>
              </w:rPr>
              <w:t>.</w:t>
            </w:r>
          </w:p>
        </w:tc>
        <w:tc>
          <w:tcPr>
            <w:tcW w:w="606" w:type="pct"/>
            <w:vAlign w:val="center"/>
          </w:tcPr>
          <w:p w:rsidR="00F844D7" w:rsidRPr="00291443" w:rsidRDefault="00F844D7" w:rsidP="00AD4464">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2026</w:t>
            </w:r>
            <w:r w:rsidR="00AD4464">
              <w:rPr>
                <w:rFonts w:ascii="Sylfaen" w:eastAsia="Times New Roman" w:hAnsi="Sylfaen" w:cs="Arial"/>
                <w:b/>
                <w:sz w:val="16"/>
                <w:szCs w:val="18"/>
                <w:lang w:val="ka-GE"/>
              </w:rPr>
              <w:t xml:space="preserve"> </w:t>
            </w:r>
            <w:r>
              <w:rPr>
                <w:rFonts w:ascii="Sylfaen" w:eastAsia="Times New Roman" w:hAnsi="Sylfaen" w:cs="Arial"/>
                <w:b/>
                <w:sz w:val="16"/>
                <w:szCs w:val="18"/>
                <w:lang w:val="ka-GE"/>
              </w:rPr>
              <w:t>პროგნ.</w:t>
            </w:r>
          </w:p>
        </w:tc>
        <w:tc>
          <w:tcPr>
            <w:tcW w:w="605" w:type="pct"/>
            <w:vAlign w:val="center"/>
          </w:tcPr>
          <w:p w:rsidR="00F844D7" w:rsidRPr="00092F2E" w:rsidRDefault="00F844D7" w:rsidP="004146A8">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rPr>
              <w:t xml:space="preserve">2027 </w:t>
            </w:r>
            <w:r>
              <w:rPr>
                <w:rFonts w:ascii="Sylfaen" w:eastAsia="Times New Roman" w:hAnsi="Sylfaen" w:cs="Arial"/>
                <w:b/>
                <w:sz w:val="16"/>
                <w:szCs w:val="18"/>
                <w:lang w:val="ka-GE"/>
              </w:rPr>
              <w:t>პროგნ.</w:t>
            </w:r>
          </w:p>
        </w:tc>
      </w:tr>
      <w:tr w:rsidR="00AD4464" w:rsidRPr="00291443" w:rsidTr="00DC424F">
        <w:trPr>
          <w:trHeight w:val="113"/>
          <w:jc w:val="center"/>
        </w:trPr>
        <w:tc>
          <w:tcPr>
            <w:tcW w:w="1357" w:type="pct"/>
            <w:shd w:val="clear" w:color="auto" w:fill="auto"/>
            <w:vAlign w:val="center"/>
            <w:hideMark/>
          </w:tcPr>
          <w:p w:rsidR="00F844D7" w:rsidRPr="0056011A" w:rsidRDefault="00F844D7" w:rsidP="004146A8">
            <w:pPr>
              <w:spacing w:after="0" w:line="240" w:lineRule="auto"/>
              <w:rPr>
                <w:rFonts w:ascii="Sylfaen" w:eastAsia="Times New Roman" w:hAnsi="Sylfaen" w:cs="Arial"/>
                <w:sz w:val="16"/>
                <w:szCs w:val="18"/>
              </w:rPr>
            </w:pPr>
            <w:r w:rsidRPr="007E0FBA">
              <w:rPr>
                <w:rFonts w:ascii="Sylfaen" w:eastAsia="Times New Roman" w:hAnsi="Sylfaen" w:cs="Arial"/>
                <w:sz w:val="16"/>
                <w:szCs w:val="18"/>
              </w:rPr>
              <w:t>2023-2026</w:t>
            </w:r>
            <w:r w:rsidRPr="007E0FBA">
              <w:rPr>
                <w:rFonts w:ascii="Sylfaen" w:eastAsia="Times New Roman" w:hAnsi="Sylfaen" w:cs="Arial"/>
                <w:sz w:val="16"/>
                <w:szCs w:val="18"/>
                <w:lang w:val="ka-GE"/>
              </w:rPr>
              <w:t xml:space="preserve"> წლების</w:t>
            </w:r>
            <w:r w:rsidRPr="0056011A">
              <w:rPr>
                <w:rFonts w:ascii="Sylfaen" w:eastAsia="Times New Roman" w:hAnsi="Sylfaen" w:cs="Arial"/>
                <w:sz w:val="16"/>
                <w:szCs w:val="18"/>
              </w:rPr>
              <w:t xml:space="preserve"> </w:t>
            </w:r>
            <w:r w:rsidRPr="00D225FA">
              <w:rPr>
                <w:rFonts w:ascii="Sylfaen" w:eastAsia="Times New Roman" w:hAnsi="Sylfaen" w:cs="Calibri"/>
                <w:color w:val="000000"/>
                <w:sz w:val="16"/>
              </w:rPr>
              <w:t>წინა პ</w:t>
            </w:r>
            <w:r w:rsidRPr="00D225FA">
              <w:rPr>
                <w:rFonts w:ascii="Sylfaen" w:eastAsia="Times New Roman" w:hAnsi="Sylfaen" w:cs="Calibri"/>
                <w:color w:val="000000"/>
                <w:sz w:val="16"/>
                <w:lang w:val="ka-GE"/>
              </w:rPr>
              <w:t>რ</w:t>
            </w:r>
            <w:r w:rsidRPr="00D225FA">
              <w:rPr>
                <w:rFonts w:ascii="Sylfaen" w:eastAsia="Times New Roman" w:hAnsi="Sylfaen" w:cs="Calibri"/>
                <w:color w:val="000000"/>
                <w:sz w:val="16"/>
              </w:rPr>
              <w:t>ოგნოზი (202</w:t>
            </w:r>
            <w:r w:rsidRPr="00D225FA">
              <w:rPr>
                <w:rFonts w:ascii="Sylfaen" w:eastAsia="Times New Roman" w:hAnsi="Sylfaen" w:cs="Calibri"/>
                <w:color w:val="000000"/>
                <w:sz w:val="16"/>
                <w:lang w:val="ka-GE"/>
              </w:rPr>
              <w:t>2</w:t>
            </w:r>
            <w:r w:rsidRPr="00D225FA">
              <w:rPr>
                <w:rFonts w:ascii="Sylfaen" w:eastAsia="Times New Roman" w:hAnsi="Sylfaen" w:cs="Calibri"/>
                <w:color w:val="000000"/>
                <w:sz w:val="16"/>
              </w:rPr>
              <w:t xml:space="preserve"> </w:t>
            </w:r>
            <w:r w:rsidRPr="00D225FA">
              <w:rPr>
                <w:rFonts w:ascii="Sylfaen" w:eastAsia="Times New Roman" w:hAnsi="Sylfaen" w:cs="Calibri"/>
                <w:color w:val="000000"/>
                <w:sz w:val="16"/>
                <w:lang w:val="ka-GE"/>
              </w:rPr>
              <w:t>წლის დეკემბერი)</w:t>
            </w:r>
          </w:p>
        </w:tc>
        <w:tc>
          <w:tcPr>
            <w:tcW w:w="575" w:type="pct"/>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-3.1%</w:t>
            </w:r>
          </w:p>
        </w:tc>
        <w:tc>
          <w:tcPr>
            <w:tcW w:w="593" w:type="pct"/>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-2.2%</w:t>
            </w:r>
          </w:p>
        </w:tc>
        <w:tc>
          <w:tcPr>
            <w:tcW w:w="605" w:type="pct"/>
            <w:vAlign w:val="center"/>
          </w:tcPr>
          <w:p w:rsidR="00F844D7" w:rsidRPr="00092F2E" w:rsidRDefault="00F844D7" w:rsidP="004146A8">
            <w:pPr>
              <w:spacing w:after="0" w:line="240" w:lineRule="auto"/>
              <w:jc w:val="center"/>
              <w:rPr>
                <w:rFonts w:ascii="Sylfaen" w:hAnsi="Sylfaen" w:cs="Arial"/>
                <w:bCs/>
                <w:sz w:val="18"/>
                <w:szCs w:val="18"/>
              </w:rPr>
            </w:pPr>
          </w:p>
        </w:tc>
      </w:tr>
      <w:tr w:rsidR="00AD4464" w:rsidRPr="00291443" w:rsidTr="00DC424F">
        <w:trPr>
          <w:trHeight w:val="113"/>
          <w:jc w:val="center"/>
        </w:trPr>
        <w:tc>
          <w:tcPr>
            <w:tcW w:w="1357" w:type="pct"/>
            <w:shd w:val="clear" w:color="auto" w:fill="auto"/>
            <w:vAlign w:val="center"/>
            <w:hideMark/>
          </w:tcPr>
          <w:p w:rsidR="00F844D7" w:rsidRPr="00291443" w:rsidRDefault="00F844D7" w:rsidP="004146A8">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w:t>
            </w:r>
            <w:r>
              <w:rPr>
                <w:rFonts w:ascii="Sylfaen" w:eastAsia="Times New Roman" w:hAnsi="Sylfaen" w:cs="Arial"/>
                <w:sz w:val="16"/>
                <w:szCs w:val="18"/>
              </w:rPr>
              <w:t>3</w:t>
            </w:r>
            <w:r w:rsidRPr="00291443">
              <w:rPr>
                <w:rFonts w:ascii="Sylfaen" w:eastAsia="Times New Roman" w:hAnsi="Sylfaen" w:cs="Arial"/>
                <w:sz w:val="16"/>
                <w:szCs w:val="18"/>
              </w:rPr>
              <w:t>-202</w:t>
            </w:r>
            <w:r>
              <w:rPr>
                <w:rFonts w:ascii="Sylfaen" w:eastAsia="Times New Roman" w:hAnsi="Sylfaen" w:cs="Arial"/>
                <w:sz w:val="16"/>
                <w:szCs w:val="18"/>
              </w:rPr>
              <w:t>7</w:t>
            </w:r>
            <w:r w:rsidRPr="00291443">
              <w:rPr>
                <w:rFonts w:ascii="Sylfaen" w:eastAsia="Times New Roman" w:hAnsi="Sylfaen" w:cs="Arial"/>
                <w:sz w:val="16"/>
                <w:szCs w:val="18"/>
              </w:rPr>
              <w:t xml:space="preserve">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575" w:type="pct"/>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-3.1%</w:t>
            </w:r>
          </w:p>
        </w:tc>
        <w:tc>
          <w:tcPr>
            <w:tcW w:w="593" w:type="pct"/>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-2.5%</w:t>
            </w:r>
          </w:p>
        </w:tc>
        <w:tc>
          <w:tcPr>
            <w:tcW w:w="606" w:type="pct"/>
            <w:vAlign w:val="center"/>
          </w:tcPr>
          <w:p w:rsidR="00F844D7" w:rsidRPr="00D225FA" w:rsidRDefault="00F844D7" w:rsidP="004146A8">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F844D7" w:rsidRPr="00D225FA" w:rsidRDefault="00F844D7" w:rsidP="004146A8">
            <w:pPr>
              <w:spacing w:after="0" w:line="240" w:lineRule="auto"/>
              <w:jc w:val="center"/>
              <w:rPr>
                <w:rFonts w:ascii="Sylfaen" w:eastAsia="Times New Roman" w:hAnsi="Sylfaen" w:cs="Arial"/>
                <w:sz w:val="18"/>
                <w:szCs w:val="18"/>
                <w:lang w:val="ka-GE"/>
              </w:rPr>
            </w:pPr>
            <w:r w:rsidRPr="00D225FA">
              <w:rPr>
                <w:rFonts w:ascii="Sylfaen" w:hAnsi="Sylfaen" w:cs="Arial"/>
                <w:bCs/>
                <w:sz w:val="18"/>
                <w:szCs w:val="18"/>
              </w:rPr>
              <w:t>-2.2%</w:t>
            </w:r>
          </w:p>
        </w:tc>
        <w:tc>
          <w:tcPr>
            <w:tcW w:w="605" w:type="pct"/>
            <w:vAlign w:val="center"/>
          </w:tcPr>
          <w:p w:rsidR="00F844D7" w:rsidRPr="007E0FBA" w:rsidRDefault="00F844D7" w:rsidP="004146A8">
            <w:pPr>
              <w:spacing w:after="0" w:line="240" w:lineRule="auto"/>
              <w:jc w:val="center"/>
              <w:rPr>
                <w:rFonts w:ascii="Sylfaen" w:hAnsi="Sylfaen" w:cs="Arial"/>
                <w:bCs/>
                <w:sz w:val="18"/>
                <w:szCs w:val="18"/>
              </w:rPr>
            </w:pPr>
            <w:r>
              <w:rPr>
                <w:rFonts w:ascii="Sylfaen" w:hAnsi="Sylfaen" w:cs="Arial"/>
                <w:bCs/>
                <w:sz w:val="18"/>
                <w:szCs w:val="18"/>
              </w:rPr>
              <w:t xml:space="preserve">-2.1% </w:t>
            </w:r>
          </w:p>
        </w:tc>
      </w:tr>
    </w:tbl>
    <w:p w:rsidR="00F844D7" w:rsidRDefault="00F844D7" w:rsidP="00F844D7">
      <w:pPr>
        <w:rPr>
          <w:rFonts w:ascii="Sylfaen" w:hAnsi="Sylfaen"/>
          <w:b/>
          <w:color w:val="000000" w:themeColor="text1"/>
          <w:lang w:val="ka-GE"/>
        </w:rPr>
      </w:pPr>
    </w:p>
    <w:p w:rsidR="00F844D7" w:rsidRPr="00FF2ED8" w:rsidDel="00166AB5" w:rsidRDefault="00F844D7" w:rsidP="00F844D7">
      <w:pPr>
        <w:rPr>
          <w:rFonts w:ascii="Sylfaen" w:hAnsi="Sylfaen"/>
          <w:color w:val="000000" w:themeColor="text1"/>
          <w:sz w:val="20"/>
          <w:szCs w:val="20"/>
          <w:lang w:val="ka-GE"/>
        </w:rPr>
      </w:pPr>
      <w:proofErr w:type="gramStart"/>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ილი</w:t>
      </w:r>
      <w:proofErr w:type="gramEnd"/>
      <w:r w:rsidRPr="00FF2ED8">
        <w:rPr>
          <w:rFonts w:ascii="Sylfaen" w:eastAsia="Times New Roman" w:hAnsi="Sylfaen" w:cs="Calibri"/>
          <w:b/>
          <w:bCs/>
          <w:color w:val="000000" w:themeColor="text1"/>
          <w:sz w:val="20"/>
          <w:szCs w:val="20"/>
          <w:lang w:val="ka-GE"/>
        </w:rPr>
        <w:t xml:space="preserve">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144" w:type="dxa"/>
        <w:tblInd w:w="-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544"/>
        <w:gridCol w:w="1289"/>
        <w:gridCol w:w="1338"/>
        <w:gridCol w:w="1122"/>
        <w:gridCol w:w="1122"/>
        <w:gridCol w:w="945"/>
        <w:gridCol w:w="784"/>
      </w:tblGrid>
      <w:tr w:rsidR="00F844D7" w:rsidRPr="00C9780C" w:rsidTr="00DC424F">
        <w:trPr>
          <w:trHeight w:val="106"/>
          <w:tblHeader/>
        </w:trPr>
        <w:tc>
          <w:tcPr>
            <w:tcW w:w="3544" w:type="dxa"/>
            <w:shd w:val="clear" w:color="auto" w:fill="auto"/>
            <w:noWrap/>
            <w:vAlign w:val="center"/>
            <w:hideMark/>
          </w:tcPr>
          <w:p w:rsidR="00F844D7" w:rsidRPr="00C9780C" w:rsidRDefault="00F844D7" w:rsidP="004146A8">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1289"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338"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1122"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1122"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45"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784" w:type="dxa"/>
            <w:vAlign w:val="center"/>
          </w:tcPr>
          <w:p w:rsidR="00F844D7" w:rsidRPr="00D225FA" w:rsidRDefault="00F844D7" w:rsidP="004146A8">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2027</w:t>
            </w:r>
          </w:p>
        </w:tc>
      </w:tr>
      <w:tr w:rsidR="00F844D7" w:rsidRPr="00C9780C" w:rsidTr="00DC424F">
        <w:trPr>
          <w:trHeight w:val="106"/>
          <w:tblHeader/>
        </w:trPr>
        <w:tc>
          <w:tcPr>
            <w:tcW w:w="3544" w:type="dxa"/>
            <w:shd w:val="clear" w:color="auto" w:fill="auto"/>
            <w:noWrap/>
            <w:vAlign w:val="center"/>
            <w:hideMark/>
          </w:tcPr>
          <w:p w:rsidR="00F844D7" w:rsidRPr="00C9780C" w:rsidRDefault="00F844D7" w:rsidP="004146A8">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1289"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ფაქტი</w:t>
            </w:r>
          </w:p>
        </w:tc>
        <w:tc>
          <w:tcPr>
            <w:tcW w:w="1338"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მოსალ</w:t>
            </w:r>
            <w:r w:rsidRPr="00C9780C">
              <w:rPr>
                <w:rFonts w:ascii="Sylfaen" w:eastAsia="Times New Roman" w:hAnsi="Sylfaen" w:cs="Calibri"/>
                <w:b/>
                <w:color w:val="000000"/>
                <w:sz w:val="18"/>
                <w:szCs w:val="18"/>
              </w:rPr>
              <w:t>.</w:t>
            </w:r>
          </w:p>
        </w:tc>
        <w:tc>
          <w:tcPr>
            <w:tcW w:w="1122"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122"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45" w:type="dxa"/>
            <w:shd w:val="clear" w:color="auto" w:fill="auto"/>
            <w:noWrap/>
            <w:vAlign w:val="center"/>
            <w:hideMark/>
          </w:tcPr>
          <w:p w:rsidR="00F844D7" w:rsidRPr="00C9780C" w:rsidRDefault="00F844D7" w:rsidP="004146A8">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784" w:type="dxa"/>
            <w:vAlign w:val="center"/>
          </w:tcPr>
          <w:p w:rsidR="00F844D7" w:rsidRPr="00D225FA" w:rsidRDefault="00F844D7" w:rsidP="004146A8">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პროგნ.</w:t>
            </w:r>
          </w:p>
        </w:tc>
      </w:tr>
      <w:tr w:rsidR="00F844D7" w:rsidRPr="00C9780C" w:rsidTr="00DC424F">
        <w:trPr>
          <w:trHeight w:val="106"/>
        </w:trPr>
        <w:tc>
          <w:tcPr>
            <w:tcW w:w="3544" w:type="dxa"/>
            <w:shd w:val="clear" w:color="auto" w:fill="auto"/>
            <w:noWrap/>
            <w:vAlign w:val="center"/>
            <w:hideMark/>
          </w:tcPr>
          <w:p w:rsidR="00F844D7" w:rsidRPr="00573B92" w:rsidRDefault="00F844D7" w:rsidP="004146A8">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1289"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-1403.0</w:t>
            </w:r>
          </w:p>
        </w:tc>
        <w:tc>
          <w:tcPr>
            <w:tcW w:w="1338"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-1887.0</w:t>
            </w:r>
          </w:p>
        </w:tc>
        <w:tc>
          <w:tcPr>
            <w:tcW w:w="1122"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-1774.8</w:t>
            </w:r>
          </w:p>
        </w:tc>
        <w:tc>
          <w:tcPr>
            <w:tcW w:w="1122"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-1682.7</w:t>
            </w:r>
          </w:p>
        </w:tc>
        <w:tc>
          <w:tcPr>
            <w:tcW w:w="945"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-1546.4</w:t>
            </w:r>
          </w:p>
        </w:tc>
        <w:tc>
          <w:tcPr>
            <w:tcW w:w="784" w:type="dxa"/>
            <w:vAlign w:val="center"/>
          </w:tcPr>
          <w:p w:rsidR="00F844D7" w:rsidRPr="00225C05" w:rsidRDefault="00F844D7" w:rsidP="004146A8">
            <w:pPr>
              <w:spacing w:after="0" w:line="240" w:lineRule="auto"/>
              <w:jc w:val="center"/>
              <w:rPr>
                <w:rFonts w:ascii="Sylfaen" w:eastAsia="Times New Roman" w:hAnsi="Sylfaen" w:cs="Calibri"/>
                <w:b/>
                <w:bCs/>
                <w:color w:val="000000"/>
                <w:sz w:val="18"/>
                <w:szCs w:val="18"/>
              </w:rPr>
            </w:pPr>
          </w:p>
        </w:tc>
      </w:tr>
      <w:tr w:rsidR="00F844D7" w:rsidRPr="00C9780C" w:rsidTr="00DC424F">
        <w:trPr>
          <w:trHeight w:val="106"/>
        </w:trPr>
        <w:tc>
          <w:tcPr>
            <w:tcW w:w="3544" w:type="dxa"/>
            <w:shd w:val="clear" w:color="auto" w:fill="auto"/>
            <w:noWrap/>
            <w:vAlign w:val="center"/>
            <w:hideMark/>
          </w:tcPr>
          <w:p w:rsidR="00F844D7" w:rsidRPr="00C9780C" w:rsidRDefault="00F844D7" w:rsidP="004146A8">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289" w:type="dxa"/>
            <w:shd w:val="clear" w:color="auto" w:fill="auto"/>
            <w:noWrap/>
            <w:vAlign w:val="center"/>
            <w:hideMark/>
          </w:tcPr>
          <w:p w:rsidR="00F844D7" w:rsidRPr="00397B06" w:rsidRDefault="00F844D7" w:rsidP="004146A8">
            <w:pPr>
              <w:spacing w:after="0" w:line="240" w:lineRule="auto"/>
              <w:jc w:val="center"/>
              <w:rPr>
                <w:rFonts w:ascii="Sylfaen" w:eastAsia="Times New Roman" w:hAnsi="Sylfaen" w:cs="Calibri"/>
                <w:b/>
                <w:bCs/>
                <w:color w:val="000000"/>
                <w:sz w:val="18"/>
                <w:szCs w:val="18"/>
              </w:rPr>
            </w:pPr>
            <w:r w:rsidRPr="00D225FA">
              <w:rPr>
                <w:rFonts w:ascii="Sylfaen" w:hAnsi="Sylfaen" w:cs="Arial"/>
                <w:sz w:val="18"/>
                <w:szCs w:val="18"/>
              </w:rPr>
              <w:t>391.7</w:t>
            </w:r>
          </w:p>
        </w:tc>
        <w:tc>
          <w:tcPr>
            <w:tcW w:w="1338" w:type="dxa"/>
            <w:shd w:val="clear" w:color="auto" w:fill="auto"/>
            <w:noWrap/>
            <w:vAlign w:val="center"/>
            <w:hideMark/>
          </w:tcPr>
          <w:p w:rsidR="00F844D7" w:rsidRPr="00397B06" w:rsidRDefault="00F844D7" w:rsidP="004146A8">
            <w:pPr>
              <w:spacing w:after="0" w:line="240" w:lineRule="auto"/>
              <w:jc w:val="center"/>
              <w:rPr>
                <w:rFonts w:ascii="Sylfaen" w:eastAsia="Times New Roman" w:hAnsi="Sylfaen" w:cs="Calibri"/>
                <w:b/>
                <w:bCs/>
                <w:color w:val="000000"/>
                <w:sz w:val="18"/>
                <w:szCs w:val="18"/>
              </w:rPr>
            </w:pPr>
            <w:r w:rsidRPr="00D225FA">
              <w:rPr>
                <w:rFonts w:ascii="Sylfaen" w:hAnsi="Sylfaen" w:cs="Arial"/>
                <w:sz w:val="18"/>
                <w:szCs w:val="18"/>
              </w:rPr>
              <w:t>268.1</w:t>
            </w:r>
          </w:p>
        </w:tc>
        <w:tc>
          <w:tcPr>
            <w:tcW w:w="1122" w:type="dxa"/>
            <w:shd w:val="clear" w:color="auto" w:fill="auto"/>
            <w:noWrap/>
            <w:vAlign w:val="center"/>
            <w:hideMark/>
          </w:tcPr>
          <w:p w:rsidR="00F844D7" w:rsidRPr="00397B06" w:rsidRDefault="00F844D7" w:rsidP="004146A8">
            <w:pPr>
              <w:spacing w:after="0" w:line="240" w:lineRule="auto"/>
              <w:jc w:val="center"/>
              <w:rPr>
                <w:rFonts w:ascii="Sylfaen" w:eastAsia="Times New Roman" w:hAnsi="Sylfaen" w:cs="Calibri"/>
                <w:b/>
                <w:bCs/>
                <w:color w:val="000000"/>
                <w:sz w:val="18"/>
                <w:szCs w:val="18"/>
              </w:rPr>
            </w:pPr>
            <w:r w:rsidRPr="00D225FA">
              <w:rPr>
                <w:rFonts w:ascii="Sylfaen" w:hAnsi="Sylfaen" w:cs="Arial"/>
                <w:sz w:val="18"/>
                <w:szCs w:val="18"/>
              </w:rPr>
              <w:t>98.3</w:t>
            </w:r>
          </w:p>
        </w:tc>
        <w:tc>
          <w:tcPr>
            <w:tcW w:w="1122" w:type="dxa"/>
            <w:shd w:val="clear" w:color="auto" w:fill="auto"/>
            <w:noWrap/>
            <w:vAlign w:val="center"/>
            <w:hideMark/>
          </w:tcPr>
          <w:p w:rsidR="00F844D7" w:rsidRPr="00397B06" w:rsidRDefault="00F844D7" w:rsidP="004146A8">
            <w:pPr>
              <w:spacing w:after="0" w:line="240" w:lineRule="auto"/>
              <w:jc w:val="center"/>
              <w:rPr>
                <w:rFonts w:ascii="Sylfaen" w:eastAsia="Times New Roman" w:hAnsi="Sylfaen" w:cs="Calibri"/>
                <w:b/>
                <w:bCs/>
                <w:color w:val="000000"/>
                <w:sz w:val="18"/>
                <w:szCs w:val="18"/>
                <w:lang w:val="ka-GE"/>
              </w:rPr>
            </w:pPr>
            <w:r w:rsidRPr="00D225FA">
              <w:rPr>
                <w:rFonts w:ascii="Sylfaen" w:hAnsi="Sylfaen" w:cs="Arial"/>
                <w:sz w:val="18"/>
                <w:szCs w:val="18"/>
              </w:rPr>
              <w:t>-12.3</w:t>
            </w:r>
          </w:p>
        </w:tc>
        <w:tc>
          <w:tcPr>
            <w:tcW w:w="945" w:type="dxa"/>
            <w:shd w:val="clear" w:color="auto" w:fill="auto"/>
            <w:noWrap/>
            <w:vAlign w:val="center"/>
            <w:hideMark/>
          </w:tcPr>
          <w:p w:rsidR="00F844D7" w:rsidRPr="00397B06" w:rsidRDefault="00F844D7" w:rsidP="004146A8">
            <w:pPr>
              <w:spacing w:after="0" w:line="240" w:lineRule="auto"/>
              <w:jc w:val="center"/>
              <w:rPr>
                <w:rFonts w:ascii="Sylfaen" w:eastAsia="Times New Roman" w:hAnsi="Sylfaen" w:cs="Calibri"/>
                <w:b/>
                <w:bCs/>
                <w:color w:val="000000"/>
                <w:sz w:val="18"/>
                <w:szCs w:val="18"/>
              </w:rPr>
            </w:pPr>
            <w:r w:rsidRPr="00D225FA">
              <w:rPr>
                <w:rFonts w:ascii="Sylfaen" w:hAnsi="Sylfaen" w:cs="Arial"/>
                <w:sz w:val="18"/>
                <w:szCs w:val="18"/>
              </w:rPr>
              <w:t>-153.5</w:t>
            </w:r>
          </w:p>
        </w:tc>
        <w:tc>
          <w:tcPr>
            <w:tcW w:w="784" w:type="dxa"/>
            <w:vAlign w:val="center"/>
          </w:tcPr>
          <w:p w:rsidR="00F844D7" w:rsidRPr="00225C05" w:rsidRDefault="00F844D7" w:rsidP="004146A8">
            <w:pPr>
              <w:spacing w:after="0" w:line="240" w:lineRule="auto"/>
              <w:jc w:val="center"/>
              <w:rPr>
                <w:rFonts w:ascii="Sylfaen" w:eastAsia="Times New Roman" w:hAnsi="Sylfaen" w:cs="Calibri"/>
                <w:b/>
                <w:bCs/>
                <w:color w:val="000000"/>
                <w:sz w:val="18"/>
                <w:szCs w:val="18"/>
              </w:rPr>
            </w:pPr>
          </w:p>
        </w:tc>
      </w:tr>
      <w:tr w:rsidR="00F844D7" w:rsidRPr="00C9780C" w:rsidTr="00DC424F">
        <w:trPr>
          <w:trHeight w:val="106"/>
        </w:trPr>
        <w:tc>
          <w:tcPr>
            <w:tcW w:w="3544" w:type="dxa"/>
            <w:shd w:val="clear" w:color="auto" w:fill="auto"/>
            <w:noWrap/>
            <w:vAlign w:val="center"/>
            <w:hideMark/>
          </w:tcPr>
          <w:p w:rsidR="00F844D7" w:rsidRPr="00C9780C" w:rsidRDefault="00F844D7" w:rsidP="004146A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1289"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411.5</w:t>
            </w:r>
          </w:p>
        </w:tc>
        <w:tc>
          <w:tcPr>
            <w:tcW w:w="1338"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-181.1</w:t>
            </w:r>
          </w:p>
        </w:tc>
        <w:tc>
          <w:tcPr>
            <w:tcW w:w="1122"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-367.7</w:t>
            </w:r>
          </w:p>
        </w:tc>
        <w:tc>
          <w:tcPr>
            <w:tcW w:w="1122"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-506.7</w:t>
            </w:r>
          </w:p>
        </w:tc>
        <w:tc>
          <w:tcPr>
            <w:tcW w:w="945"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-710.7</w:t>
            </w:r>
          </w:p>
        </w:tc>
        <w:tc>
          <w:tcPr>
            <w:tcW w:w="784" w:type="dxa"/>
            <w:vAlign w:val="center"/>
          </w:tcPr>
          <w:p w:rsidR="00F844D7" w:rsidRPr="004323F7" w:rsidRDefault="00F844D7" w:rsidP="004146A8">
            <w:pPr>
              <w:spacing w:after="0" w:line="240" w:lineRule="auto"/>
              <w:jc w:val="center"/>
              <w:rPr>
                <w:rFonts w:ascii="Sylfaen" w:eastAsia="Times New Roman" w:hAnsi="Sylfaen" w:cs="Calibri"/>
                <w:color w:val="000000"/>
                <w:sz w:val="18"/>
                <w:szCs w:val="18"/>
              </w:rPr>
            </w:pPr>
          </w:p>
        </w:tc>
      </w:tr>
      <w:tr w:rsidR="00F844D7" w:rsidRPr="00C9780C" w:rsidTr="00DC424F">
        <w:trPr>
          <w:trHeight w:val="106"/>
        </w:trPr>
        <w:tc>
          <w:tcPr>
            <w:tcW w:w="3544" w:type="dxa"/>
            <w:shd w:val="clear" w:color="auto" w:fill="auto"/>
            <w:noWrap/>
            <w:vAlign w:val="center"/>
            <w:hideMark/>
          </w:tcPr>
          <w:p w:rsidR="00F844D7" w:rsidRPr="00C9780C" w:rsidRDefault="00F844D7" w:rsidP="004146A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1289"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-600.1</w:t>
            </w:r>
          </w:p>
        </w:tc>
        <w:tc>
          <w:tcPr>
            <w:tcW w:w="1338"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-654.6</w:t>
            </w:r>
          </w:p>
        </w:tc>
        <w:tc>
          <w:tcPr>
            <w:tcW w:w="1122"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-741.6</w:t>
            </w:r>
          </w:p>
        </w:tc>
        <w:tc>
          <w:tcPr>
            <w:tcW w:w="1122"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-799.5</w:t>
            </w:r>
          </w:p>
        </w:tc>
        <w:tc>
          <w:tcPr>
            <w:tcW w:w="945"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-838.0</w:t>
            </w:r>
          </w:p>
        </w:tc>
        <w:tc>
          <w:tcPr>
            <w:tcW w:w="784" w:type="dxa"/>
            <w:vAlign w:val="center"/>
          </w:tcPr>
          <w:p w:rsidR="00F844D7" w:rsidRPr="00C9780C" w:rsidRDefault="00F844D7" w:rsidP="004146A8">
            <w:pPr>
              <w:spacing w:after="0" w:line="240" w:lineRule="auto"/>
              <w:jc w:val="center"/>
              <w:rPr>
                <w:rFonts w:ascii="Sylfaen" w:eastAsia="Times New Roman" w:hAnsi="Sylfaen" w:cs="Calibri"/>
                <w:color w:val="000000"/>
                <w:sz w:val="18"/>
                <w:szCs w:val="18"/>
              </w:rPr>
            </w:pPr>
          </w:p>
        </w:tc>
      </w:tr>
      <w:tr w:rsidR="00F844D7" w:rsidRPr="00C9780C" w:rsidTr="00DC424F">
        <w:trPr>
          <w:trHeight w:val="106"/>
        </w:trPr>
        <w:tc>
          <w:tcPr>
            <w:tcW w:w="3544" w:type="dxa"/>
            <w:shd w:val="clear" w:color="auto" w:fill="auto"/>
            <w:noWrap/>
            <w:vAlign w:val="center"/>
            <w:hideMark/>
          </w:tcPr>
          <w:p w:rsidR="00F844D7" w:rsidRPr="00C9780C" w:rsidRDefault="00F844D7" w:rsidP="004146A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1289"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580.3</w:t>
            </w:r>
          </w:p>
        </w:tc>
        <w:tc>
          <w:tcPr>
            <w:tcW w:w="1338"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1103.7</w:t>
            </w:r>
          </w:p>
        </w:tc>
        <w:tc>
          <w:tcPr>
            <w:tcW w:w="1122"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lang w:val="ka-GE"/>
              </w:rPr>
            </w:pPr>
            <w:r w:rsidRPr="00D225FA">
              <w:rPr>
                <w:rFonts w:ascii="Sylfaen" w:hAnsi="Sylfaen" w:cs="Arial"/>
                <w:bCs/>
                <w:sz w:val="18"/>
                <w:szCs w:val="18"/>
              </w:rPr>
              <w:t>1207.6</w:t>
            </w:r>
          </w:p>
        </w:tc>
        <w:tc>
          <w:tcPr>
            <w:tcW w:w="1122" w:type="dxa"/>
            <w:shd w:val="clear" w:color="auto" w:fill="auto"/>
            <w:noWrap/>
            <w:vAlign w:val="center"/>
            <w:hideMark/>
          </w:tcPr>
          <w:p w:rsidR="00F844D7" w:rsidRPr="001E45C9" w:rsidRDefault="00F844D7" w:rsidP="004146A8">
            <w:pPr>
              <w:spacing w:after="0" w:line="240" w:lineRule="auto"/>
              <w:jc w:val="center"/>
              <w:rPr>
                <w:rFonts w:ascii="Sylfaen" w:eastAsia="Times New Roman" w:hAnsi="Sylfaen" w:cs="Calibri"/>
                <w:color w:val="000000"/>
                <w:sz w:val="18"/>
                <w:szCs w:val="18"/>
              </w:rPr>
            </w:pPr>
            <w:r w:rsidRPr="00D225FA">
              <w:rPr>
                <w:rFonts w:ascii="Sylfaen" w:hAnsi="Sylfaen" w:cs="Arial"/>
                <w:bCs/>
                <w:sz w:val="18"/>
                <w:szCs w:val="18"/>
              </w:rPr>
              <w:t>1293.9</w:t>
            </w:r>
          </w:p>
        </w:tc>
        <w:tc>
          <w:tcPr>
            <w:tcW w:w="945"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1395.1</w:t>
            </w:r>
          </w:p>
        </w:tc>
        <w:tc>
          <w:tcPr>
            <w:tcW w:w="784" w:type="dxa"/>
            <w:vAlign w:val="center"/>
          </w:tcPr>
          <w:p w:rsidR="00F844D7" w:rsidRPr="00C9780C" w:rsidRDefault="00F844D7" w:rsidP="004146A8">
            <w:pPr>
              <w:spacing w:after="0" w:line="240" w:lineRule="auto"/>
              <w:jc w:val="center"/>
              <w:rPr>
                <w:rFonts w:ascii="Sylfaen" w:eastAsia="Times New Roman" w:hAnsi="Sylfaen" w:cs="Calibri"/>
                <w:color w:val="000000"/>
                <w:sz w:val="18"/>
                <w:szCs w:val="18"/>
              </w:rPr>
            </w:pPr>
          </w:p>
        </w:tc>
      </w:tr>
      <w:tr w:rsidR="00F844D7" w:rsidRPr="00317A29" w:rsidTr="00DC424F">
        <w:trPr>
          <w:trHeight w:val="106"/>
        </w:trPr>
        <w:tc>
          <w:tcPr>
            <w:tcW w:w="3544" w:type="dxa"/>
            <w:shd w:val="clear" w:color="auto" w:fill="auto"/>
            <w:noWrap/>
            <w:vAlign w:val="center"/>
            <w:hideMark/>
          </w:tcPr>
          <w:p w:rsidR="00F844D7" w:rsidRPr="00C9780C" w:rsidRDefault="00F844D7" w:rsidP="004146A8">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1289"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-1011.3</w:t>
            </w:r>
          </w:p>
        </w:tc>
        <w:tc>
          <w:tcPr>
            <w:tcW w:w="1338"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-1619.0</w:t>
            </w:r>
          </w:p>
        </w:tc>
        <w:tc>
          <w:tcPr>
            <w:tcW w:w="1122"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-1676.5</w:t>
            </w:r>
          </w:p>
        </w:tc>
        <w:tc>
          <w:tcPr>
            <w:tcW w:w="1122"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-1695.0</w:t>
            </w:r>
          </w:p>
        </w:tc>
        <w:tc>
          <w:tcPr>
            <w:tcW w:w="945" w:type="dxa"/>
            <w:shd w:val="clear" w:color="auto" w:fill="auto"/>
            <w:noWrap/>
            <w:vAlign w:val="center"/>
            <w:hideMark/>
          </w:tcPr>
          <w:p w:rsidR="00F844D7" w:rsidRPr="00D225FA" w:rsidRDefault="00F844D7" w:rsidP="004146A8">
            <w:pPr>
              <w:spacing w:after="0" w:line="240" w:lineRule="auto"/>
              <w:jc w:val="center"/>
              <w:rPr>
                <w:rFonts w:ascii="Sylfaen" w:eastAsia="Times New Roman" w:hAnsi="Sylfaen" w:cs="Calibri"/>
                <w:bCs/>
                <w:color w:val="000000"/>
                <w:sz w:val="18"/>
                <w:szCs w:val="18"/>
                <w:lang w:val="ka-GE"/>
              </w:rPr>
            </w:pPr>
            <w:r w:rsidRPr="00D225FA">
              <w:rPr>
                <w:rFonts w:ascii="Sylfaen" w:hAnsi="Sylfaen" w:cs="Arial"/>
                <w:bCs/>
                <w:sz w:val="18"/>
                <w:szCs w:val="18"/>
              </w:rPr>
              <w:t>-1699.9</w:t>
            </w:r>
          </w:p>
        </w:tc>
        <w:tc>
          <w:tcPr>
            <w:tcW w:w="784" w:type="dxa"/>
            <w:vAlign w:val="center"/>
          </w:tcPr>
          <w:p w:rsidR="00F844D7" w:rsidRPr="00D225FA" w:rsidRDefault="00F844D7" w:rsidP="004146A8">
            <w:pPr>
              <w:spacing w:after="0" w:line="240" w:lineRule="auto"/>
              <w:jc w:val="center"/>
              <w:rPr>
                <w:rFonts w:ascii="Sylfaen" w:hAnsi="Sylfaen"/>
                <w:sz w:val="18"/>
                <w:szCs w:val="18"/>
              </w:rPr>
            </w:pPr>
            <w:r w:rsidRPr="00D225FA">
              <w:rPr>
                <w:rFonts w:ascii="Sylfaen" w:hAnsi="Sylfaen" w:cs="Arial"/>
                <w:bCs/>
                <w:sz w:val="18"/>
                <w:szCs w:val="18"/>
              </w:rPr>
              <w:t>-1699.7</w:t>
            </w:r>
          </w:p>
        </w:tc>
      </w:tr>
    </w:tbl>
    <w:p w:rsidR="00F844D7" w:rsidRPr="00C9780C" w:rsidRDefault="00F844D7" w:rsidP="00F844D7">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w:t>
      </w:r>
      <w:r>
        <w:rPr>
          <w:rFonts w:ascii="Sylfaen" w:hAnsi="Sylfaen"/>
          <w:lang w:val="ka-GE"/>
        </w:rPr>
        <w:t xml:space="preserve"> დოლარებში</w:t>
      </w:r>
      <w:r w:rsidRPr="00C9780C">
        <w:rPr>
          <w:rFonts w:ascii="Sylfaen" w:hAnsi="Sylfaen"/>
          <w:lang w:val="ka-GE"/>
        </w:rPr>
        <w:t>, საპროგნოზო მაჩვენებლები</w:t>
      </w:r>
      <w:r>
        <w:rPr>
          <w:rFonts w:ascii="Sylfaen" w:hAnsi="Sylfaen"/>
          <w:lang w:val="ka-GE"/>
        </w:rPr>
        <w:t xml:space="preserve"> გაუმჯობესებულია 2023-2024 წლებისთვის, ხოლო</w:t>
      </w:r>
      <w:r w:rsidRPr="00C9780C">
        <w:rPr>
          <w:rFonts w:ascii="Sylfaen" w:hAnsi="Sylfaen"/>
          <w:lang w:val="ka-GE"/>
        </w:rPr>
        <w:t xml:space="preserve"> გაუარესებულია</w:t>
      </w:r>
      <w:r>
        <w:rPr>
          <w:rFonts w:ascii="Sylfaen" w:hAnsi="Sylfaen"/>
          <w:lang w:val="ka-GE"/>
        </w:rPr>
        <w:t xml:space="preserve"> 2025-202</w:t>
      </w:r>
      <w:r>
        <w:rPr>
          <w:rFonts w:ascii="Sylfaen" w:hAnsi="Sylfaen"/>
        </w:rPr>
        <w:t>6</w:t>
      </w:r>
      <w:r>
        <w:rPr>
          <w:rFonts w:ascii="Sylfaen" w:hAnsi="Sylfaen"/>
          <w:lang w:val="ka-GE"/>
        </w:rPr>
        <w:t xml:space="preserve"> წლებისათვის. გაუმჯობესებული მიმდინარე ანგარიშის პროგნოზი ტრანსფერების მნიშვნელოვან გაუმჯობესებას უკავშირდება, რაც ზრდის მეორად შემოსავალს, ძირითადად კერძო სექტორის მხრიდან. ხოლო 2025-2026 წლებისთვის კი მოსალოდნელია წმინდა ექსპორტისა და პირველადი შემოსავლის უფრო მეტად შემცირება, ვიდრე - 2022 წლის დეკემბერში იყო მოსალოდნელი. აღნიშნული ძირითადად საქონლის ექსპორტის წმინდა ექსპორტისა და საინვესტიციო შემოსავლების შემცირებას უკ</w:t>
      </w:r>
      <w:r w:rsidRPr="00C9780C">
        <w:rPr>
          <w:rFonts w:ascii="Sylfaen" w:hAnsi="Sylfaen"/>
          <w:lang w:val="ka-GE"/>
        </w:rPr>
        <w:t xml:space="preserve">ავშირდება.  </w:t>
      </w:r>
    </w:p>
    <w:p w:rsidR="00F844D7" w:rsidRDefault="00F844D7" w:rsidP="00F844D7">
      <w:pPr>
        <w:pStyle w:val="NoSpacing"/>
        <w:spacing w:line="276" w:lineRule="auto"/>
        <w:ind w:firstLine="567"/>
        <w:jc w:val="both"/>
        <w:rPr>
          <w:rFonts w:ascii="Sylfaen" w:hAnsi="Sylfaen"/>
          <w:lang w:val="ka-GE"/>
        </w:rPr>
      </w:pPr>
      <w:r>
        <w:rPr>
          <w:rFonts w:ascii="Sylfaen" w:hAnsi="Sylfaen"/>
          <w:lang w:val="ka-GE"/>
        </w:rPr>
        <w:t>მიმდინარე ანგარიშის ცვლილება 2023 წლისთვის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 რაც ძირითადი წყარო აღმოჩნდა პროგნოზის გაზრდის მიმართულებით.</w:t>
      </w:r>
    </w:p>
    <w:p w:rsidR="00F844D7" w:rsidRDefault="00F844D7" w:rsidP="00F844D7">
      <w:pPr>
        <w:rPr>
          <w:rFonts w:ascii="Sylfaen" w:hAnsi="Sylfaen"/>
          <w:lang w:val="ka-GE"/>
        </w:rPr>
      </w:pPr>
      <w:r>
        <w:rPr>
          <w:rFonts w:ascii="Sylfaen" w:hAnsi="Sylfaen"/>
          <w:lang w:val="ka-GE"/>
        </w:rPr>
        <w:br w:type="page"/>
      </w:r>
    </w:p>
    <w:p w:rsidR="00CD7313" w:rsidRDefault="00CD7313" w:rsidP="00CD7313">
      <w:pPr>
        <w:rPr>
          <w:rFonts w:ascii="Sylfaen" w:hAnsi="Sylfaen"/>
          <w:lang w:val="ka-GE"/>
        </w:rPr>
      </w:pPr>
    </w:p>
    <w:p w:rsidR="007B6E63" w:rsidRPr="00EF56BC" w:rsidRDefault="007B6E63" w:rsidP="00EF56BC">
      <w:pPr>
        <w:pStyle w:val="Heading1"/>
        <w:numPr>
          <w:ilvl w:val="0"/>
          <w:numId w:val="1"/>
        </w:numPr>
        <w:rPr>
          <w:b/>
          <w:sz w:val="28"/>
          <w:lang w:val="ka-GE"/>
        </w:rPr>
      </w:pPr>
      <w:bookmarkStart w:id="2" w:name="_Toc89118360"/>
      <w:r w:rsidRPr="00EF56BC">
        <w:rPr>
          <w:b/>
          <w:sz w:val="28"/>
          <w:lang w:val="ka-GE"/>
        </w:rPr>
        <w:t>ფისკალური ჩარჩო</w:t>
      </w:r>
      <w:r w:rsidR="00370834" w:rsidRPr="00EF56BC">
        <w:rPr>
          <w:b/>
          <w:sz w:val="28"/>
          <w:lang w:val="ka-GE"/>
        </w:rPr>
        <w:t xml:space="preserve"> და ფისკალური </w:t>
      </w:r>
      <w:r w:rsidR="00EF56BC">
        <w:rPr>
          <w:b/>
          <w:sz w:val="28"/>
          <w:lang w:val="ka-GE"/>
        </w:rPr>
        <w:t>წესებთან შესაბამისობა</w:t>
      </w:r>
      <w:bookmarkEnd w:id="2"/>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3" w:name="_Toc89118361"/>
      <w:r w:rsidRPr="00C9780C">
        <w:rPr>
          <w:rFonts w:ascii="Sylfaen" w:hAnsi="Sylfaen"/>
          <w:lang w:val="ka-GE"/>
        </w:rPr>
        <w:t>2.1 ფისკალური ჩარჩოს შედარება</w:t>
      </w:r>
      <w:bookmarkEnd w:id="3"/>
    </w:p>
    <w:p w:rsidR="00AD738A" w:rsidRPr="00C9780C" w:rsidRDefault="00AD738A" w:rsidP="00C8711F">
      <w:pPr>
        <w:jc w:val="right"/>
        <w:rPr>
          <w:rFonts w:ascii="Sylfaen" w:hAnsi="Sylfaen"/>
          <w:b/>
          <w:i/>
          <w:sz w:val="18"/>
          <w:u w:val="single"/>
        </w:rPr>
      </w:pPr>
    </w:p>
    <w:p w:rsidR="007716A2" w:rsidRPr="007716A2" w:rsidRDefault="007716A2" w:rsidP="007716A2">
      <w:pPr>
        <w:spacing w:after="0"/>
        <w:ind w:firstLine="709"/>
        <w:jc w:val="both"/>
        <w:rPr>
          <w:rFonts w:ascii="Sylfaen" w:hAnsi="Sylfaen"/>
        </w:rPr>
      </w:pPr>
      <w:r>
        <w:rPr>
          <w:rFonts w:ascii="Sylfaen" w:hAnsi="Sylfaen"/>
          <w:lang w:val="ka-GE"/>
        </w:rPr>
        <w:t xml:space="preserve">ფისკალური ჩარჩოს შედარება მოიცავს 2020 წელს მომზადებული 2021-2024 წლის ქვეყნის ძირითადი მონაცემების და მიმართულებების დოკუმენტით განსაზღვრული პროგნოზების შედარებას 2021, 2022 წელს და მიმდინარე წელს განახლებულ მომზადებულ შესაბამისი პერიოდის ფისკალურ პროგნოზებთან. </w:t>
      </w:r>
    </w:p>
    <w:p w:rsidR="009653F7" w:rsidRDefault="009653F7" w:rsidP="007716A2">
      <w:pPr>
        <w:spacing w:after="0"/>
        <w:ind w:firstLine="709"/>
        <w:jc w:val="both"/>
        <w:rPr>
          <w:rFonts w:ascii="Sylfaen" w:hAnsi="Sylfaen"/>
          <w:lang w:val="ka-GE"/>
        </w:rPr>
      </w:pPr>
      <w:r w:rsidRPr="00F94F85">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w:t>
      </w:r>
      <w:r>
        <w:rPr>
          <w:rFonts w:ascii="Sylfaen" w:hAnsi="Sylfaen"/>
          <w:lang w:val="ka-GE"/>
        </w:rPr>
        <w:t xml:space="preserve">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დამაასდადასდასდატებითი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9653F7" w:rsidRPr="00F94F85" w:rsidRDefault="009653F7" w:rsidP="00127E80">
      <w:pPr>
        <w:spacing w:after="0"/>
        <w:ind w:firstLine="709"/>
        <w:jc w:val="both"/>
        <w:rPr>
          <w:rFonts w:ascii="Sylfaen" w:hAnsi="Sylfaen"/>
          <w:lang w:val="ka-GE"/>
        </w:rPr>
      </w:pPr>
      <w:r>
        <w:rPr>
          <w:rFonts w:ascii="Sylfaen" w:hAnsi="Sylfaen"/>
          <w:lang w:val="ka-GE"/>
        </w:rPr>
        <w:t>2021 წელს ეკონომიკის აღდგენის პარალელურად შესაძლებელია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9653F7" w:rsidRPr="00FF626F" w:rsidRDefault="009653F7" w:rsidP="00127E80">
      <w:pPr>
        <w:spacing w:after="0"/>
        <w:ind w:firstLine="709"/>
        <w:jc w:val="both"/>
        <w:rPr>
          <w:rFonts w:ascii="Sylfaen" w:hAnsi="Sylfaen"/>
          <w:lang w:val="ka-GE"/>
        </w:rPr>
      </w:pPr>
      <w:r w:rsidRPr="00F94F85">
        <w:rPr>
          <w:rFonts w:ascii="Sylfaen" w:hAnsi="Sylfaen"/>
          <w:lang w:val="ka-GE"/>
        </w:rPr>
        <w:t xml:space="preserve">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w:t>
      </w:r>
      <w:r>
        <w:rPr>
          <w:rFonts w:ascii="Sylfaen" w:hAnsi="Sylfaen"/>
          <w:lang w:val="ka-GE"/>
        </w:rPr>
        <w:t>ამავდროულად, კვლავ მაღალი იყო ნაერთი ბიუჯეტის დეფიციტის მაჩვენებელი და მშპ-ს 4,4%-ს შეადგენდა.</w:t>
      </w:r>
      <w:r w:rsidR="00127E80">
        <w:rPr>
          <w:rFonts w:ascii="Sylfaen" w:hAnsi="Sylfaen"/>
          <w:lang w:val="ka-GE"/>
        </w:rPr>
        <w:t xml:space="preserve"> </w:t>
      </w:r>
      <w:r>
        <w:rPr>
          <w:rFonts w:ascii="Sylfaen" w:hAnsi="Sylfaen"/>
          <w:lang w:val="ka-GE"/>
        </w:rPr>
        <w:t xml:space="preserve">2022 წელს კვლავ გაგრძელდა მაღალი ეკონომიკური ზრდა. </w:t>
      </w:r>
      <w:r w:rsidR="00127E80">
        <w:rPr>
          <w:rFonts w:ascii="Sylfaen" w:hAnsi="Sylfaen"/>
          <w:lang w:val="ka-GE"/>
        </w:rPr>
        <w:t>2022 წლის რეალური ეკონომიკური ზრდის მაჩვენებელი 10,1%-ის ფარგლებში დაფიქსირდა</w:t>
      </w:r>
      <w:r w:rsidR="00B36E09">
        <w:rPr>
          <w:rFonts w:ascii="Sylfaen" w:hAnsi="Sylfaen"/>
          <w:lang w:val="ka-GE"/>
        </w:rPr>
        <w:t>, ხოლო ნაერთი ბიუჯეტის დეფფიციტი 3,1%-მდე შემცირდა</w:t>
      </w:r>
      <w:r w:rsidR="00127E80">
        <w:rPr>
          <w:rFonts w:ascii="Sylfaen" w:hAnsi="Sylfaen"/>
          <w:lang w:val="ka-GE"/>
        </w:rPr>
        <w:t>.</w:t>
      </w:r>
    </w:p>
    <w:p w:rsidR="009653F7" w:rsidRPr="007A0DB4" w:rsidRDefault="00127E80" w:rsidP="007716A2">
      <w:pPr>
        <w:spacing w:after="0"/>
        <w:ind w:firstLine="709"/>
        <w:jc w:val="both"/>
        <w:rPr>
          <w:rFonts w:ascii="Sylfaen" w:hAnsi="Sylfaen"/>
          <w:lang w:val="ka-GE"/>
        </w:rPr>
      </w:pPr>
      <w:r>
        <w:rPr>
          <w:rFonts w:ascii="Sylfaen" w:hAnsi="Sylfaen"/>
          <w:lang w:val="ka-GE"/>
        </w:rPr>
        <w:t xml:space="preserve">2022 წლის ბოლოს, </w:t>
      </w:r>
      <w:r w:rsidR="009653F7" w:rsidRPr="007A0DB4">
        <w:rPr>
          <w:rFonts w:ascii="Sylfaen" w:hAnsi="Sylfaen"/>
          <w:lang w:val="ka-GE"/>
        </w:rPr>
        <w:t>2023 წლის</w:t>
      </w:r>
      <w:r>
        <w:rPr>
          <w:rFonts w:ascii="Sylfaen" w:hAnsi="Sylfaen"/>
          <w:lang w:val="ka-GE"/>
        </w:rPr>
        <w:t xml:space="preserve"> მოსალოდნელი</w:t>
      </w:r>
      <w:r w:rsidR="009653F7" w:rsidRPr="007A0DB4">
        <w:rPr>
          <w:rFonts w:ascii="Sylfaen" w:hAnsi="Sylfaen"/>
          <w:lang w:val="ka-GE"/>
        </w:rPr>
        <w:t xml:space="preserve"> ძირითადი მაკროეკონომიკური მაჩვენებლები კვლავ შედარებით კონსერვატიულად და</w:t>
      </w:r>
      <w:r w:rsidR="0019571F">
        <w:rPr>
          <w:rFonts w:ascii="Sylfaen" w:hAnsi="Sylfaen"/>
          <w:lang w:val="ka-GE"/>
        </w:rPr>
        <w:t>ი</w:t>
      </w:r>
      <w:r w:rsidR="009653F7" w:rsidRPr="007A0DB4">
        <w:rPr>
          <w:rFonts w:ascii="Sylfaen" w:hAnsi="Sylfaen"/>
          <w:lang w:val="ka-GE"/>
        </w:rPr>
        <w:t>გეგმ</w:t>
      </w:r>
      <w:r w:rsidR="0019571F">
        <w:rPr>
          <w:rFonts w:ascii="Sylfaen" w:hAnsi="Sylfaen"/>
          <w:lang w:val="ka-GE"/>
        </w:rPr>
        <w:t>ა</w:t>
      </w:r>
      <w:r w:rsidR="009653F7" w:rsidRPr="007A0DB4">
        <w:rPr>
          <w:rFonts w:ascii="Sylfaen" w:hAnsi="Sylfaen"/>
          <w:lang w:val="ka-GE"/>
        </w:rPr>
        <w:t>, კერძოდ:</w:t>
      </w:r>
    </w:p>
    <w:p w:rsidR="00B36E09" w:rsidRDefault="00B36E09" w:rsidP="005A6468">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Pr>
          <w:rFonts w:ascii="Sylfaen" w:hAnsi="Sylfaen"/>
          <w:sz w:val="22"/>
          <w:szCs w:val="22"/>
          <w:lang w:val="ka-GE"/>
        </w:rPr>
        <w:t>რეალური ეკონომიკური ზრდის და მშპ-ის დეფლატორის პროგნოზიც</w:t>
      </w:r>
      <w:r w:rsidR="009653F7" w:rsidRPr="00B36E09">
        <w:rPr>
          <w:rFonts w:ascii="Sylfaen" w:hAnsi="Sylfaen"/>
          <w:sz w:val="22"/>
          <w:szCs w:val="22"/>
          <w:lang w:val="ka-GE"/>
        </w:rPr>
        <w:t xml:space="preserve"> და</w:t>
      </w:r>
      <w:r w:rsidRPr="00B36E09">
        <w:rPr>
          <w:rFonts w:ascii="Sylfaen" w:hAnsi="Sylfaen"/>
          <w:sz w:val="22"/>
          <w:szCs w:val="22"/>
          <w:lang w:val="ka-GE"/>
        </w:rPr>
        <w:t>ი</w:t>
      </w:r>
      <w:r w:rsidR="009653F7" w:rsidRPr="00B36E09">
        <w:rPr>
          <w:rFonts w:ascii="Sylfaen" w:hAnsi="Sylfaen"/>
          <w:sz w:val="22"/>
          <w:szCs w:val="22"/>
          <w:lang w:val="ka-GE"/>
        </w:rPr>
        <w:t xml:space="preserve">გეგმა 5%-ის ფარგლებში. </w:t>
      </w:r>
    </w:p>
    <w:p w:rsidR="009653F7" w:rsidRPr="00F94F85" w:rsidRDefault="009653F7" w:rsidP="00AD4464">
      <w:pPr>
        <w:pStyle w:val="ListParagraph"/>
        <w:numPr>
          <w:ilvl w:val="0"/>
          <w:numId w:val="18"/>
        </w:numPr>
        <w:tabs>
          <w:tab w:val="left" w:pos="1134"/>
        </w:tabs>
        <w:spacing w:after="0" w:line="276" w:lineRule="auto"/>
        <w:ind w:left="993"/>
        <w:jc w:val="both"/>
        <w:rPr>
          <w:rFonts w:ascii="Sylfaen" w:hAnsi="Sylfaen"/>
          <w:lang w:val="ka-GE"/>
        </w:rPr>
      </w:pPr>
      <w:r w:rsidRPr="00F94F85">
        <w:rPr>
          <w:rFonts w:ascii="Sylfaen" w:hAnsi="Sylfaen"/>
          <w:lang w:val="ka-GE"/>
        </w:rPr>
        <w:t>ნომინალური მშპ-ის პროგნოზი გან</w:t>
      </w:r>
      <w:r w:rsidR="00B36E09">
        <w:rPr>
          <w:rFonts w:ascii="Sylfaen" w:hAnsi="Sylfaen"/>
          <w:lang w:val="ka-GE"/>
        </w:rPr>
        <w:t>ი</w:t>
      </w:r>
      <w:r w:rsidRPr="00F94F85">
        <w:rPr>
          <w:rFonts w:ascii="Sylfaen" w:hAnsi="Sylfaen"/>
          <w:lang w:val="ka-GE"/>
        </w:rPr>
        <w:t>საზღვრა 79,</w:t>
      </w:r>
      <w:r>
        <w:rPr>
          <w:rFonts w:ascii="Sylfaen" w:hAnsi="Sylfaen"/>
          <w:lang w:val="ka-GE"/>
        </w:rPr>
        <w:t>7</w:t>
      </w:r>
      <w:r w:rsidRPr="00F94F85">
        <w:rPr>
          <w:rFonts w:ascii="Sylfaen" w:hAnsi="Sylfaen"/>
          <w:lang w:val="ka-GE"/>
        </w:rPr>
        <w:t xml:space="preserve"> მლრდ ლარის ოდენობით</w:t>
      </w:r>
      <w:r w:rsidR="00BA30E0">
        <w:rPr>
          <w:rFonts w:ascii="Sylfaen" w:hAnsi="Sylfaen"/>
          <w:lang w:val="ka-GE"/>
        </w:rPr>
        <w:t>;</w:t>
      </w:r>
    </w:p>
    <w:p w:rsidR="009653F7" w:rsidRPr="00FF626F" w:rsidRDefault="009653F7" w:rsidP="00AD4464">
      <w:pPr>
        <w:pStyle w:val="ListParagraph"/>
        <w:numPr>
          <w:ilvl w:val="0"/>
          <w:numId w:val="18"/>
        </w:numPr>
        <w:shd w:val="clear" w:color="auto" w:fill="FFFFFF" w:themeFill="background1"/>
        <w:tabs>
          <w:tab w:val="left" w:pos="1134"/>
        </w:tabs>
        <w:spacing w:after="0" w:line="276" w:lineRule="auto"/>
        <w:ind w:left="993"/>
        <w:jc w:val="both"/>
        <w:rPr>
          <w:rFonts w:ascii="Sylfaen" w:hAnsi="Sylfaen"/>
          <w:lang w:val="ka-GE"/>
        </w:rPr>
      </w:pPr>
      <w:r w:rsidRPr="00F94F85">
        <w:rPr>
          <w:rFonts w:ascii="Sylfaen" w:hAnsi="Sylfaen"/>
          <w:lang w:val="ka-GE"/>
        </w:rPr>
        <w:t xml:space="preserve">ნაერთი ბიუჯეტის საგადასახადო შემოსავლები </w:t>
      </w:r>
      <w:r w:rsidR="00BA30E0">
        <w:rPr>
          <w:rFonts w:ascii="Sylfaen" w:hAnsi="Sylfaen"/>
          <w:lang w:val="ka-GE"/>
        </w:rPr>
        <w:t>განისაზღვრ</w:t>
      </w:r>
      <w:r w:rsidRPr="00F94F85">
        <w:rPr>
          <w:rFonts w:ascii="Sylfaen" w:hAnsi="Sylfaen"/>
          <w:lang w:val="ka-GE"/>
        </w:rPr>
        <w:t xml:space="preserve">ა </w:t>
      </w:r>
      <w:r>
        <w:rPr>
          <w:rFonts w:ascii="Sylfaen" w:hAnsi="Sylfaen"/>
          <w:lang w:val="ka-GE"/>
        </w:rPr>
        <w:t>18,9</w:t>
      </w:r>
      <w:r w:rsidRPr="00F94F85">
        <w:rPr>
          <w:rFonts w:ascii="Sylfaen" w:hAnsi="Sylfaen"/>
          <w:lang w:val="ka-GE"/>
        </w:rPr>
        <w:t xml:space="preserve"> </w:t>
      </w:r>
      <w:r>
        <w:rPr>
          <w:rFonts w:ascii="Sylfaen" w:hAnsi="Sylfaen"/>
          <w:lang w:val="ka-GE"/>
        </w:rPr>
        <w:t>მლრდ</w:t>
      </w:r>
      <w:r w:rsidRPr="00F94F85">
        <w:rPr>
          <w:rFonts w:ascii="Sylfaen" w:hAnsi="Sylfaen"/>
          <w:lang w:val="ka-GE"/>
        </w:rPr>
        <w:t xml:space="preserve"> ლარის ოდენობით</w:t>
      </w:r>
      <w:r>
        <w:rPr>
          <w:rFonts w:ascii="Sylfaen" w:hAnsi="Sylfaen"/>
          <w:lang w:val="ka-GE"/>
        </w:rPr>
        <w:t xml:space="preserve">, </w:t>
      </w:r>
      <w:r w:rsidRPr="00FF626F">
        <w:rPr>
          <w:rFonts w:ascii="Sylfaen" w:hAnsi="Sylfaen"/>
          <w:lang w:val="ka-GE"/>
        </w:rPr>
        <w:t>რაც მშპ-ს 23,7%-ია;</w:t>
      </w:r>
    </w:p>
    <w:p w:rsidR="009653F7" w:rsidRPr="00FF626F" w:rsidRDefault="009653F7" w:rsidP="00AD4464">
      <w:pPr>
        <w:pStyle w:val="ListParagraph"/>
        <w:numPr>
          <w:ilvl w:val="0"/>
          <w:numId w:val="18"/>
        </w:numPr>
        <w:shd w:val="clear" w:color="auto" w:fill="FFFFFF" w:themeFill="background1"/>
        <w:tabs>
          <w:tab w:val="left" w:pos="1134"/>
        </w:tabs>
        <w:spacing w:after="0" w:line="276" w:lineRule="auto"/>
        <w:ind w:left="993"/>
        <w:jc w:val="both"/>
        <w:rPr>
          <w:rFonts w:ascii="Sylfaen" w:hAnsi="Sylfaen"/>
          <w:lang w:val="ka-GE"/>
        </w:rPr>
      </w:pPr>
      <w:r w:rsidRPr="00FF626F">
        <w:rPr>
          <w:rFonts w:ascii="Sylfaen" w:hAnsi="Sylfaen"/>
          <w:lang w:val="ka-GE"/>
        </w:rPr>
        <w:t xml:space="preserve">ნაერთი ბიუჯეტის დეფიციტი </w:t>
      </w:r>
      <w:r w:rsidR="00BA30E0">
        <w:rPr>
          <w:rFonts w:ascii="Sylfaen" w:hAnsi="Sylfaen"/>
          <w:lang w:val="ka-GE"/>
        </w:rPr>
        <w:t>დაიგეგმა</w:t>
      </w:r>
      <w:r w:rsidRPr="00FF626F">
        <w:rPr>
          <w:rFonts w:ascii="Sylfaen" w:hAnsi="Sylfaen"/>
          <w:lang w:val="ka-GE"/>
        </w:rPr>
        <w:t xml:space="preserve"> მშპ-ს 2,8%-ს, ხოლო მთავრობის ვალის მაჩვენებელი მშპ-ს 39%-ზე დაბალ ნიშნულზე.</w:t>
      </w:r>
    </w:p>
    <w:p w:rsidR="0094642B" w:rsidRDefault="0019571F"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00423421">
        <w:rPr>
          <w:rFonts w:ascii="Sylfaen" w:hAnsi="Sylfaen" w:cs="Sylfaen"/>
          <w:bCs/>
          <w:noProof/>
          <w:sz w:val="22"/>
          <w:szCs w:val="22"/>
          <w:lang w:val="ka-GE"/>
        </w:rPr>
        <w:t xml:space="preserve">ამასთან, როგორც დოკუმენტის პირველ ნაწილშია აღნიშნული, </w:t>
      </w:r>
      <w:r w:rsidR="00BA30E0">
        <w:rPr>
          <w:rFonts w:ascii="Sylfaen" w:hAnsi="Sylfaen" w:cs="Sylfaen"/>
          <w:bCs/>
          <w:noProof/>
          <w:sz w:val="22"/>
          <w:szCs w:val="22"/>
          <w:lang w:val="ka-GE"/>
        </w:rPr>
        <w:t xml:space="preserve">2023 </w:t>
      </w:r>
      <w:r>
        <w:rPr>
          <w:rFonts w:ascii="Sylfaen" w:hAnsi="Sylfaen" w:cs="Sylfaen"/>
          <w:bCs/>
          <w:noProof/>
          <w:sz w:val="22"/>
          <w:szCs w:val="22"/>
          <w:lang w:val="ka-GE"/>
        </w:rPr>
        <w:t>წლ</w:t>
      </w:r>
      <w:r w:rsidR="00423421">
        <w:rPr>
          <w:rFonts w:ascii="Sylfaen" w:hAnsi="Sylfaen" w:cs="Sylfaen"/>
          <w:bCs/>
          <w:noProof/>
          <w:sz w:val="22"/>
          <w:szCs w:val="22"/>
          <w:lang w:val="ka-GE"/>
        </w:rPr>
        <w:t>ი</w:t>
      </w:r>
      <w:r>
        <w:rPr>
          <w:rFonts w:ascii="Sylfaen" w:hAnsi="Sylfaen" w:cs="Sylfaen"/>
          <w:bCs/>
          <w:noProof/>
          <w:sz w:val="22"/>
          <w:szCs w:val="22"/>
          <w:lang w:val="ka-GE"/>
        </w:rPr>
        <w:t>ს</w:t>
      </w:r>
      <w:r w:rsidR="00423421">
        <w:rPr>
          <w:rFonts w:ascii="Sylfaen" w:hAnsi="Sylfaen" w:cs="Sylfaen"/>
          <w:bCs/>
          <w:noProof/>
          <w:sz w:val="22"/>
          <w:szCs w:val="22"/>
          <w:lang w:val="ka-GE"/>
        </w:rPr>
        <w:t xml:space="preserve"> 5 თვის მონაცემებით ეკონომიკა მოსალოდნელზე უფრო მაღალი მაჩვენებლით იზრდება, მათ შორის ტურიზმიდან და გზავნილებიდან მოსალოდნელზე მაღალი შემოდინების ტენდენციაა, რის გამოც გადაიხედა 2023 წლის და ასევე შემდგომი პერიოდის მაკრო-ფისკალური პროგნოზები. შესაბამისად, 2023 წელს მოსალოდნელია დაგეგმილზე მაღ</w:t>
      </w:r>
      <w:r w:rsidR="006126AE">
        <w:rPr>
          <w:rFonts w:ascii="Sylfaen" w:hAnsi="Sylfaen" w:cs="Sylfaen"/>
          <w:bCs/>
          <w:noProof/>
          <w:sz w:val="22"/>
          <w:szCs w:val="22"/>
          <w:lang w:val="ka-GE"/>
        </w:rPr>
        <w:t>ალი</w:t>
      </w:r>
      <w:r w:rsidR="00423421">
        <w:rPr>
          <w:rFonts w:ascii="Sylfaen" w:hAnsi="Sylfaen" w:cs="Sylfaen"/>
          <w:bCs/>
          <w:noProof/>
          <w:sz w:val="22"/>
          <w:szCs w:val="22"/>
          <w:lang w:val="ka-GE"/>
        </w:rPr>
        <w:t xml:space="preserve"> ეკონომიკური ზრდა 5.4 პროცენტის ფარგლებში, გადაიხედა ნომინალური მშპ-ის პროგნოზები, იზრდება საგადასახადო </w:t>
      </w:r>
      <w:r w:rsidR="00127E80">
        <w:rPr>
          <w:rFonts w:ascii="Sylfaen" w:hAnsi="Sylfaen" w:cs="Sylfaen"/>
          <w:bCs/>
          <w:noProof/>
          <w:sz w:val="22"/>
          <w:szCs w:val="22"/>
          <w:lang w:val="ka-GE"/>
        </w:rPr>
        <w:t xml:space="preserve">და სხვა </w:t>
      </w:r>
      <w:r w:rsidR="00423421">
        <w:rPr>
          <w:rFonts w:ascii="Sylfaen" w:hAnsi="Sylfaen" w:cs="Sylfaen"/>
          <w:bCs/>
          <w:noProof/>
          <w:sz w:val="22"/>
          <w:szCs w:val="22"/>
          <w:lang w:val="ka-GE"/>
        </w:rPr>
        <w:t xml:space="preserve">შემოსავლები. </w:t>
      </w:r>
    </w:p>
    <w:p w:rsidR="00AD4464" w:rsidRDefault="00AD4464"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lastRenderedPageBreak/>
        <w:tab/>
        <w:t>2024 წელს და შემდგომ საშუალოვადიან პერიოდში გადამუშავებული პროგნოზების მიხედვით ეკონომიკური ზრდა დაგეგმილია კვლავ 5%-ის ფარგლებში, ასევე</w:t>
      </w:r>
      <w:r w:rsidR="00127E80">
        <w:rPr>
          <w:rFonts w:ascii="Sylfaen" w:hAnsi="Sylfaen" w:cs="Sylfaen"/>
          <w:bCs/>
          <w:noProof/>
          <w:sz w:val="22"/>
          <w:szCs w:val="22"/>
          <w:lang w:val="ka-GE"/>
        </w:rPr>
        <w:t>,</w:t>
      </w:r>
      <w:r>
        <w:rPr>
          <w:rFonts w:ascii="Sylfaen" w:hAnsi="Sylfaen" w:cs="Sylfaen"/>
          <w:bCs/>
          <w:noProof/>
          <w:sz w:val="22"/>
          <w:szCs w:val="22"/>
          <w:lang w:val="ka-GE"/>
        </w:rPr>
        <w:t xml:space="preserve"> როგორც ზევით აღინიშნა</w:t>
      </w:r>
      <w:r w:rsidR="00127E80">
        <w:rPr>
          <w:rFonts w:ascii="Sylfaen" w:hAnsi="Sylfaen" w:cs="Sylfaen"/>
          <w:bCs/>
          <w:noProof/>
          <w:sz w:val="22"/>
          <w:szCs w:val="22"/>
          <w:lang w:val="ka-GE"/>
        </w:rPr>
        <w:t>,</w:t>
      </w:r>
      <w:r w:rsidR="00BA30E0">
        <w:rPr>
          <w:rFonts w:ascii="Sylfaen" w:hAnsi="Sylfaen" w:cs="Sylfaen"/>
          <w:bCs/>
          <w:noProof/>
          <w:sz w:val="22"/>
          <w:szCs w:val="22"/>
          <w:lang w:val="ka-GE"/>
        </w:rPr>
        <w:t xml:space="preserve"> დაკორექტიდა </w:t>
      </w:r>
      <w:r>
        <w:rPr>
          <w:rFonts w:ascii="Sylfaen" w:hAnsi="Sylfaen" w:cs="Sylfaen"/>
          <w:bCs/>
          <w:noProof/>
          <w:sz w:val="22"/>
          <w:szCs w:val="22"/>
          <w:lang w:val="ka-GE"/>
        </w:rPr>
        <w:t xml:space="preserve">მშპ-ის პროგნოზი.   </w:t>
      </w:r>
    </w:p>
    <w:p w:rsidR="002E638F" w:rsidRDefault="0094642B"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t xml:space="preserve">აღნიშნულის გათვალისწინებით, </w:t>
      </w:r>
      <w:r w:rsidR="002E638F">
        <w:rPr>
          <w:rFonts w:ascii="Sylfaen" w:hAnsi="Sylfaen" w:cs="Sylfaen"/>
          <w:bCs/>
          <w:noProof/>
          <w:sz w:val="22"/>
          <w:szCs w:val="22"/>
          <w:lang w:val="ka-GE"/>
        </w:rPr>
        <w:t>გადაიხედა</w:t>
      </w:r>
      <w:r w:rsidR="00423421">
        <w:rPr>
          <w:rFonts w:ascii="Sylfaen" w:hAnsi="Sylfaen" w:cs="Sylfaen"/>
          <w:bCs/>
          <w:noProof/>
          <w:sz w:val="22"/>
          <w:szCs w:val="22"/>
          <w:lang w:val="ka-GE"/>
        </w:rPr>
        <w:t xml:space="preserve"> მიმდინარე</w:t>
      </w:r>
      <w:r w:rsidR="005C64F7">
        <w:rPr>
          <w:rFonts w:ascii="Sylfaen" w:hAnsi="Sylfaen" w:cs="Sylfaen"/>
          <w:bCs/>
          <w:noProof/>
          <w:sz w:val="22"/>
          <w:szCs w:val="22"/>
          <w:lang w:val="ka-GE"/>
        </w:rPr>
        <w:t xml:space="preserve"> </w:t>
      </w:r>
      <w:r w:rsidR="002E638F">
        <w:rPr>
          <w:rFonts w:ascii="Sylfaen" w:hAnsi="Sylfaen" w:cs="Sylfaen"/>
          <w:bCs/>
          <w:noProof/>
          <w:sz w:val="22"/>
          <w:szCs w:val="22"/>
          <w:lang w:val="ka-GE"/>
        </w:rPr>
        <w:t>და კაპიტალური ხარჯების დაგეგმილი მაჩვენებლები და არსებული გამოწვევები</w:t>
      </w:r>
      <w:r>
        <w:rPr>
          <w:rFonts w:ascii="Sylfaen" w:hAnsi="Sylfaen" w:cs="Sylfaen"/>
          <w:bCs/>
          <w:noProof/>
          <w:sz w:val="22"/>
          <w:szCs w:val="22"/>
          <w:lang w:val="ka-GE"/>
        </w:rPr>
        <w:t>ს</w:t>
      </w:r>
      <w:r w:rsidR="002E638F">
        <w:rPr>
          <w:rFonts w:ascii="Sylfaen" w:hAnsi="Sylfaen" w:cs="Sylfaen"/>
          <w:bCs/>
          <w:noProof/>
          <w:sz w:val="22"/>
          <w:szCs w:val="22"/>
          <w:lang w:val="ka-GE"/>
        </w:rPr>
        <w:t xml:space="preserve"> საპასუხოდ, დაგეგმილი პროგრამების სრულფასოვნად განსახორციელებლად, </w:t>
      </w:r>
      <w:r w:rsidR="0033239E">
        <w:rPr>
          <w:rFonts w:ascii="Sylfaen" w:hAnsi="Sylfaen" w:cs="Sylfaen"/>
          <w:bCs/>
          <w:noProof/>
          <w:sz w:val="22"/>
          <w:szCs w:val="22"/>
          <w:lang w:val="ka-GE"/>
        </w:rPr>
        <w:t xml:space="preserve">2023 წლის და 2024-2027 წლების </w:t>
      </w:r>
      <w:r w:rsidR="002E638F">
        <w:rPr>
          <w:rFonts w:ascii="Sylfaen" w:hAnsi="Sylfaen" w:cs="Sylfaen"/>
          <w:bCs/>
          <w:noProof/>
          <w:sz w:val="22"/>
          <w:szCs w:val="22"/>
          <w:lang w:val="ka-GE"/>
        </w:rPr>
        <w:t>მოსალოდნელ პროგნოზებში გათვალისწინებულია მიმდინარე ხარჯების გაზრდა, ასევე,</w:t>
      </w:r>
      <w:r w:rsidR="005C64F7">
        <w:rPr>
          <w:rFonts w:ascii="Sylfaen" w:hAnsi="Sylfaen" w:cs="Sylfaen"/>
          <w:bCs/>
          <w:noProof/>
          <w:sz w:val="22"/>
          <w:szCs w:val="22"/>
          <w:lang w:val="ka-GE"/>
        </w:rPr>
        <w:t xml:space="preserve"> მცირედით გაზრდილია</w:t>
      </w:r>
      <w:r w:rsidR="00423421">
        <w:rPr>
          <w:rFonts w:ascii="Sylfaen" w:hAnsi="Sylfaen" w:cs="Sylfaen"/>
          <w:bCs/>
          <w:noProof/>
          <w:sz w:val="22"/>
          <w:szCs w:val="22"/>
          <w:lang w:val="ka-GE"/>
        </w:rPr>
        <w:t xml:space="preserve"> კაპიტალური ხარჯების პროგნოზები</w:t>
      </w:r>
      <w:r w:rsidR="002E638F">
        <w:rPr>
          <w:rFonts w:ascii="Sylfaen" w:hAnsi="Sylfaen" w:cs="Sylfaen"/>
          <w:bCs/>
          <w:noProof/>
          <w:sz w:val="22"/>
          <w:szCs w:val="22"/>
          <w:lang w:val="ka-GE"/>
        </w:rPr>
        <w:t xml:space="preserve">. </w:t>
      </w:r>
      <w:r w:rsidR="00AD4464">
        <w:rPr>
          <w:rFonts w:ascii="Sylfaen" w:hAnsi="Sylfaen" w:cs="Sylfaen"/>
          <w:bCs/>
          <w:noProof/>
          <w:sz w:val="22"/>
          <w:szCs w:val="22"/>
          <w:lang w:val="ka-GE"/>
        </w:rPr>
        <w:t xml:space="preserve">გაიზარდა ნაერთი ბიუჯეტის როგორც შემოსავლები, ასევე გადასახდელები. ნაერთი ბიუჯეტის დეფიციტმა </w:t>
      </w:r>
      <w:r w:rsidR="0033239E">
        <w:rPr>
          <w:rFonts w:ascii="Sylfaen" w:hAnsi="Sylfaen" w:cs="Sylfaen"/>
          <w:bCs/>
          <w:noProof/>
          <w:sz w:val="22"/>
          <w:szCs w:val="22"/>
          <w:lang w:val="ka-GE"/>
        </w:rPr>
        <w:t xml:space="preserve">2023 წელს </w:t>
      </w:r>
      <w:r w:rsidR="00AD4464">
        <w:rPr>
          <w:rFonts w:ascii="Sylfaen" w:hAnsi="Sylfaen" w:cs="Sylfaen"/>
          <w:bCs/>
          <w:noProof/>
          <w:sz w:val="22"/>
          <w:szCs w:val="22"/>
          <w:lang w:val="ka-GE"/>
        </w:rPr>
        <w:t xml:space="preserve">შეადგინა </w:t>
      </w:r>
      <w:r w:rsidR="0041266C">
        <w:rPr>
          <w:rFonts w:ascii="Sylfaen" w:hAnsi="Sylfaen" w:cs="Sylfaen"/>
          <w:bCs/>
          <w:noProof/>
          <w:sz w:val="22"/>
          <w:szCs w:val="22"/>
          <w:lang w:val="ka-GE"/>
        </w:rPr>
        <w:t>2.9%, ხოლო 2024 წელს 2,4%, საშუალოვადიან პერიოდში კი შენარჩუნებულია 2,1%-ის ფარგლებში. თუმცა აღსანიშნავია, რომ მიმდინარე წელს 2023 წლის ბიუჯეტის კანონის გადამუშავებისას, ასევე 2024 წლის სახელმწიფო ბიუჯეტის პროექტის მომზადების პროცესში კვლავ გადაიხედება მიმდინარე და შემდგომი წლების პროგნოზები.</w:t>
      </w:r>
    </w:p>
    <w:p w:rsidR="006126AE" w:rsidRPr="005C64F7" w:rsidRDefault="002E638F"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r>
    </w:p>
    <w:p w:rsidR="00404E8F"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40580D" w:rsidRPr="00306167" w:rsidRDefault="0040580D" w:rsidP="0040580D">
      <w:pPr>
        <w:spacing w:after="0" w:line="276" w:lineRule="auto"/>
        <w:ind w:firstLine="720"/>
        <w:jc w:val="both"/>
        <w:rPr>
          <w:rFonts w:ascii="Sylfaen" w:hAnsi="Sylfaen"/>
        </w:rPr>
      </w:pPr>
      <w:r>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 xml:space="preserve">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w:t>
      </w:r>
      <w:r w:rsidRPr="00C9780C">
        <w:rPr>
          <w:rFonts w:ascii="Sylfaen" w:hAnsi="Sylfaen" w:cs="Sylfaen"/>
          <w:lang w:val="ka-GE"/>
        </w:rPr>
        <w:t>როგორც ნომინალურ გამოხატულებაში</w:t>
      </w:r>
      <w:r>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w:t>
      </w:r>
      <w:r w:rsidR="00A71D2C">
        <w:rPr>
          <w:rFonts w:ascii="Sylfaen" w:hAnsi="Sylfaen" w:cs="Sylfaen"/>
          <w:lang w:val="ka-GE"/>
        </w:rPr>
        <w:t xml:space="preserve"> და 2021 წ</w:t>
      </w:r>
      <w:r>
        <w:rPr>
          <w:rFonts w:ascii="Sylfaen" w:hAnsi="Sylfaen" w:cs="Sylfaen"/>
          <w:lang w:val="ka-GE"/>
        </w:rPr>
        <w:t>ლის ფაქტიურმა მაჩვენებელმა შეადგინა</w:t>
      </w:r>
      <w:r w:rsidR="00A71D2C">
        <w:rPr>
          <w:rFonts w:ascii="Sylfaen" w:hAnsi="Sylfaen" w:cs="Sylfaen"/>
          <w:lang w:val="ka-GE"/>
        </w:rPr>
        <w:t xml:space="preserve"> 6.2</w:t>
      </w:r>
      <w:r w:rsidR="00EA21C9">
        <w:rPr>
          <w:rFonts w:ascii="Sylfaen" w:hAnsi="Sylfaen" w:cs="Sylfaen"/>
          <w:lang w:val="ka-GE"/>
        </w:rPr>
        <w:t xml:space="preserve">%. </w:t>
      </w:r>
    </w:p>
    <w:p w:rsidR="00D04BEA" w:rsidRDefault="0040580D" w:rsidP="00D04BEA">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პროგნოზ</w:t>
      </w:r>
      <w:r w:rsidR="008C1EB7">
        <w:rPr>
          <w:rFonts w:ascii="Sylfaen" w:hAnsi="Sylfaen" w:cs="Sylfaen"/>
          <w:lang w:val="ka-GE"/>
        </w:rPr>
        <w:t>შ</w:t>
      </w:r>
      <w:r>
        <w:rPr>
          <w:rFonts w:ascii="Sylfaen" w:hAnsi="Sylfaen" w:cs="Sylfaen"/>
          <w:lang w:val="ka-GE"/>
        </w:rPr>
        <w:t>ი</w:t>
      </w:r>
      <w:r w:rsidR="008C1EB7">
        <w:rPr>
          <w:rFonts w:ascii="Sylfaen" w:hAnsi="Sylfaen" w:cs="Sylfaen"/>
          <w:lang w:val="ka-GE"/>
        </w:rPr>
        <w:t xml:space="preserve"> (2021 წლის დეკემბერი)</w:t>
      </w:r>
      <w:r>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w:t>
      </w:r>
      <w:r w:rsidR="00487C3E">
        <w:rPr>
          <w:rFonts w:ascii="Sylfaen" w:hAnsi="Sylfaen" w:cs="Sylfaen"/>
          <w:lang w:val="ka-GE"/>
        </w:rPr>
        <w:t>2022 წლის  განმავლობაში, არ</w:t>
      </w:r>
      <w:r>
        <w:rPr>
          <w:rFonts w:ascii="Sylfaen" w:hAnsi="Sylfaen" w:cs="Sylfaen"/>
          <w:lang w:val="ka-GE"/>
        </w:rPr>
        <w:t>სებული დადებითი ტენდენციებიდან გამომდინარე</w:t>
      </w:r>
      <w:r w:rsidR="00487C3E">
        <w:rPr>
          <w:rFonts w:ascii="Sylfaen" w:hAnsi="Sylfaen" w:cs="Sylfaen"/>
          <w:lang w:val="ka-GE"/>
        </w:rPr>
        <w:t xml:space="preserve">, </w:t>
      </w:r>
      <w:r w:rsidRPr="00444998">
        <w:rPr>
          <w:rFonts w:ascii="Sylfaen" w:hAnsi="Sylfaen" w:cs="Sylfaen"/>
          <w:lang w:val="ka-GE"/>
        </w:rPr>
        <w:t>განახლ</w:t>
      </w:r>
      <w:r w:rsidR="00487C3E">
        <w:rPr>
          <w:rFonts w:ascii="Sylfaen" w:hAnsi="Sylfaen" w:cs="Sylfaen"/>
          <w:lang w:val="ka-GE"/>
        </w:rPr>
        <w:t>და</w:t>
      </w:r>
      <w:r w:rsidRPr="00444998">
        <w:rPr>
          <w:rFonts w:ascii="Sylfaen" w:hAnsi="Sylfaen" w:cs="Sylfaen"/>
          <w:lang w:val="ka-GE"/>
        </w:rPr>
        <w:t xml:space="preserve"> პროგნოზები</w:t>
      </w:r>
      <w:r w:rsidR="00392190" w:rsidRPr="00444998">
        <w:rPr>
          <w:rFonts w:ascii="Sylfaen" w:hAnsi="Sylfaen" w:cs="Sylfaen"/>
          <w:lang w:val="ka-GE"/>
        </w:rPr>
        <w:t xml:space="preserve"> </w:t>
      </w:r>
      <w:r w:rsidR="00487C3E">
        <w:rPr>
          <w:rFonts w:ascii="Sylfaen" w:hAnsi="Sylfaen" w:cs="Sylfaen"/>
          <w:lang w:val="ka-GE"/>
        </w:rPr>
        <w:t xml:space="preserve">და </w:t>
      </w:r>
      <w:r w:rsidR="00392190" w:rsidRPr="00444998">
        <w:rPr>
          <w:rFonts w:ascii="Sylfaen" w:hAnsi="Sylfaen" w:cs="Sylfaen"/>
          <w:lang w:val="ka-GE"/>
        </w:rPr>
        <w:t>აისახა 2022 წლის სახელმწიფო ბიუჯეტის კანონში ცვლილებ</w:t>
      </w:r>
      <w:r w:rsidR="00487C3E">
        <w:rPr>
          <w:rFonts w:ascii="Sylfaen" w:hAnsi="Sylfaen" w:cs="Sylfaen"/>
          <w:lang w:val="ka-GE"/>
        </w:rPr>
        <w:t>ებ</w:t>
      </w:r>
      <w:r w:rsidR="00243E61" w:rsidRPr="00444998">
        <w:rPr>
          <w:rFonts w:ascii="Sylfaen" w:hAnsi="Sylfaen" w:cs="Sylfaen"/>
          <w:lang w:val="ka-GE"/>
        </w:rPr>
        <w:t>ის დროს</w:t>
      </w:r>
      <w:r w:rsidR="00487C3E">
        <w:rPr>
          <w:rFonts w:ascii="Sylfaen" w:hAnsi="Sylfaen" w:cs="Sylfaen"/>
          <w:lang w:val="ka-GE"/>
        </w:rPr>
        <w:t>. 2022 წელს ნაერთი ბიუჯეტის შემოსავლები მნიშვნელოვნად 2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 მშპ-ის 27%.</w:t>
      </w:r>
    </w:p>
    <w:p w:rsidR="00F23BC2" w:rsidRPr="009B18F3" w:rsidRDefault="00D04BEA" w:rsidP="00D04BEA">
      <w:pPr>
        <w:spacing w:after="0" w:line="276" w:lineRule="auto"/>
        <w:ind w:firstLine="720"/>
        <w:jc w:val="both"/>
        <w:rPr>
          <w:rFonts w:ascii="Sylfaen" w:hAnsi="Sylfaen" w:cs="Sylfaen"/>
          <w:lang w:val="ka-GE"/>
        </w:rPr>
      </w:pPr>
      <w:r>
        <w:rPr>
          <w:rFonts w:ascii="Sylfaen" w:hAnsi="Sylfaen" w:cs="Sylfaen"/>
          <w:lang w:val="ka-GE"/>
        </w:rPr>
        <w:t xml:space="preserve">2023 წლის  სახელმწიფო ბიუჯეტის პროექტთან ერთად მომზადებული </w:t>
      </w:r>
      <w:r w:rsidR="00F23BC2" w:rsidRPr="00F94F85">
        <w:rPr>
          <w:rFonts w:ascii="Sylfaen" w:hAnsi="Sylfaen" w:cs="Sylfaen"/>
          <w:bCs/>
          <w:noProof/>
          <w:lang w:val="ka-GE"/>
        </w:rPr>
        <w:t xml:space="preserve">2023 წლის  პროგნოზით ნაერთი ბიუჯეტის </w:t>
      </w:r>
      <w:r w:rsidR="0094642B">
        <w:rPr>
          <w:rFonts w:ascii="Sylfaen" w:hAnsi="Sylfaen" w:cs="Sylfaen"/>
          <w:bCs/>
          <w:noProof/>
          <w:lang w:val="ka-GE"/>
        </w:rPr>
        <w:t>შემოსავლებმა</w:t>
      </w:r>
      <w:r w:rsidR="00F23BC2" w:rsidRPr="003C171E">
        <w:rPr>
          <w:rFonts w:ascii="Sylfaen" w:hAnsi="Sylfaen" w:cs="Sylfaen"/>
          <w:bCs/>
          <w:noProof/>
          <w:lang w:val="ka-GE"/>
        </w:rPr>
        <w:t xml:space="preserve"> ნომინალურ გამოხატულებაში </w:t>
      </w:r>
      <w:r w:rsidR="009B18F3" w:rsidRPr="003C171E">
        <w:rPr>
          <w:rFonts w:ascii="Sylfaen" w:hAnsi="Sylfaen" w:cs="Sylfaen"/>
          <w:bCs/>
          <w:noProof/>
          <w:lang w:val="ka-GE"/>
        </w:rPr>
        <w:t>20 </w:t>
      </w:r>
      <w:r w:rsidR="007E59A3" w:rsidRPr="003C171E">
        <w:rPr>
          <w:rFonts w:ascii="Sylfaen" w:hAnsi="Sylfaen" w:cs="Sylfaen"/>
          <w:bCs/>
          <w:noProof/>
        </w:rPr>
        <w:t>8</w:t>
      </w:r>
      <w:r w:rsidR="009B18F3" w:rsidRPr="003C171E">
        <w:rPr>
          <w:rFonts w:ascii="Sylfaen" w:hAnsi="Sylfaen" w:cs="Sylfaen"/>
          <w:bCs/>
          <w:noProof/>
          <w:lang w:val="ka-GE"/>
        </w:rPr>
        <w:t>0</w:t>
      </w:r>
      <w:r w:rsidR="007E59A3" w:rsidRPr="003C171E">
        <w:rPr>
          <w:rFonts w:ascii="Sylfaen" w:hAnsi="Sylfaen" w:cs="Sylfaen"/>
          <w:bCs/>
          <w:noProof/>
        </w:rPr>
        <w:t>5</w:t>
      </w:r>
      <w:r w:rsidR="009B18F3" w:rsidRPr="003C171E">
        <w:rPr>
          <w:rFonts w:ascii="Sylfaen" w:hAnsi="Sylfaen" w:cs="Sylfaen"/>
          <w:bCs/>
          <w:noProof/>
          <w:lang w:val="ka-GE"/>
        </w:rPr>
        <w:t>,0</w:t>
      </w:r>
      <w:r w:rsidR="00F23BC2" w:rsidRPr="003C171E">
        <w:rPr>
          <w:rFonts w:ascii="Sylfaen" w:hAnsi="Sylfaen" w:cs="Sylfaen"/>
          <w:bCs/>
          <w:noProof/>
          <w:lang w:val="ka-GE"/>
        </w:rPr>
        <w:t xml:space="preserve"> მლნ ლარ</w:t>
      </w:r>
      <w:r w:rsidRPr="003C171E">
        <w:rPr>
          <w:rFonts w:ascii="Sylfaen" w:hAnsi="Sylfaen" w:cs="Sylfaen"/>
          <w:bCs/>
          <w:noProof/>
          <w:lang w:val="ka-GE"/>
        </w:rPr>
        <w:t>ი</w:t>
      </w:r>
      <w:r w:rsidR="00F23BC2" w:rsidRPr="003C171E">
        <w:rPr>
          <w:rFonts w:ascii="Sylfaen" w:hAnsi="Sylfaen" w:cs="Sylfaen"/>
          <w:bCs/>
          <w:noProof/>
          <w:lang w:val="ka-GE"/>
        </w:rPr>
        <w:t xml:space="preserve"> </w:t>
      </w:r>
      <w:r w:rsidRPr="003C171E">
        <w:rPr>
          <w:rFonts w:ascii="Sylfaen" w:hAnsi="Sylfaen" w:cs="Sylfaen"/>
          <w:bCs/>
          <w:noProof/>
          <w:lang w:val="ka-GE"/>
        </w:rPr>
        <w:t>შეადგი</w:t>
      </w:r>
      <w:r w:rsidR="00F23BC2" w:rsidRPr="003C171E">
        <w:rPr>
          <w:rFonts w:ascii="Sylfaen" w:hAnsi="Sylfaen" w:cs="Sylfaen"/>
          <w:bCs/>
          <w:noProof/>
          <w:lang w:val="ka-GE"/>
        </w:rPr>
        <w:t>ნ</w:t>
      </w:r>
      <w:r w:rsidRPr="003C171E">
        <w:rPr>
          <w:rFonts w:ascii="Sylfaen" w:hAnsi="Sylfaen" w:cs="Sylfaen"/>
          <w:bCs/>
          <w:noProof/>
          <w:lang w:val="ka-GE"/>
        </w:rPr>
        <w:t>ა</w:t>
      </w:r>
      <w:r w:rsidR="007E59A3" w:rsidRPr="003C171E">
        <w:rPr>
          <w:rFonts w:ascii="Sylfaen" w:hAnsi="Sylfaen" w:cs="Sylfaen"/>
          <w:bCs/>
          <w:noProof/>
          <w:lang w:val="ka-GE"/>
        </w:rPr>
        <w:t xml:space="preserve">, რაც </w:t>
      </w:r>
      <w:r w:rsidR="00F23BC2" w:rsidRPr="003C171E">
        <w:rPr>
          <w:rFonts w:ascii="Sylfaen" w:hAnsi="Sylfaen" w:cs="Sylfaen"/>
          <w:bCs/>
          <w:noProof/>
          <w:lang w:val="ka-GE"/>
        </w:rPr>
        <w:t>მშპ-სთან მიმართებაში 2</w:t>
      </w:r>
      <w:r w:rsidR="007E59A3" w:rsidRPr="003C171E">
        <w:rPr>
          <w:rFonts w:ascii="Sylfaen" w:hAnsi="Sylfaen" w:cs="Sylfaen"/>
          <w:bCs/>
          <w:noProof/>
          <w:lang w:val="ka-GE"/>
        </w:rPr>
        <w:t>6</w:t>
      </w:r>
      <w:r w:rsidR="009B18F3" w:rsidRPr="003C171E">
        <w:rPr>
          <w:rFonts w:ascii="Sylfaen" w:hAnsi="Sylfaen" w:cs="Sylfaen"/>
          <w:bCs/>
          <w:noProof/>
          <w:lang w:val="ka-GE"/>
        </w:rPr>
        <w:t>,</w:t>
      </w:r>
      <w:r w:rsidR="007E59A3" w:rsidRPr="003C171E">
        <w:rPr>
          <w:rFonts w:ascii="Sylfaen" w:hAnsi="Sylfaen" w:cs="Sylfaen"/>
          <w:bCs/>
          <w:noProof/>
          <w:lang w:val="ka-GE"/>
        </w:rPr>
        <w:t>1</w:t>
      </w:r>
      <w:r w:rsidR="00F23BC2" w:rsidRPr="003C171E">
        <w:rPr>
          <w:rFonts w:ascii="Sylfaen" w:hAnsi="Sylfaen" w:cs="Sylfaen"/>
          <w:bCs/>
          <w:noProof/>
          <w:lang w:val="ka-GE"/>
        </w:rPr>
        <w:t>%-</w:t>
      </w:r>
      <w:r w:rsidRPr="003C171E">
        <w:rPr>
          <w:rFonts w:ascii="Sylfaen" w:hAnsi="Sylfaen" w:cs="Sylfaen"/>
          <w:bCs/>
          <w:noProof/>
          <w:lang w:val="ka-GE"/>
        </w:rPr>
        <w:t xml:space="preserve">ია, თუმცა მიმდინარე წელს გადამუშავებული მოსალოდნელი მაჩვენებლების მიხედვით საგადასახადო შემოსავლები გაზრდილია 21 215.0 მლნ ლარამდე (დაგეგმილთან შედარებით </w:t>
      </w:r>
      <w:r w:rsidRPr="003C171E">
        <w:rPr>
          <w:rFonts w:ascii="Sylfaen" w:hAnsi="Sylfaen" w:cs="Sylfaen"/>
          <w:bCs/>
          <w:noProof/>
          <w:lang w:val="ka-GE"/>
        </w:rPr>
        <w:lastRenderedPageBreak/>
        <w:t>გაზრდილია 410.0 მლნ ლარით</w:t>
      </w:r>
      <w:r w:rsidR="007716A2" w:rsidRPr="003C171E">
        <w:rPr>
          <w:rFonts w:ascii="Sylfaen" w:hAnsi="Sylfaen" w:cs="Sylfaen"/>
          <w:bCs/>
          <w:noProof/>
          <w:lang w:val="ka-GE"/>
        </w:rPr>
        <w:t xml:space="preserve">, რაც საგადასახადო </w:t>
      </w:r>
      <w:r w:rsidR="00487C3E">
        <w:rPr>
          <w:rFonts w:ascii="Sylfaen" w:hAnsi="Sylfaen" w:cs="Sylfaen"/>
          <w:bCs/>
          <w:noProof/>
          <w:lang w:val="ka-GE"/>
        </w:rPr>
        <w:t xml:space="preserve">და სხვა </w:t>
      </w:r>
      <w:r w:rsidR="007716A2" w:rsidRPr="003C171E">
        <w:rPr>
          <w:rFonts w:ascii="Sylfaen" w:hAnsi="Sylfaen" w:cs="Sylfaen"/>
          <w:bCs/>
          <w:noProof/>
          <w:lang w:val="ka-GE"/>
        </w:rPr>
        <w:t>შემოსავლების ზრდით არის განპირობებული</w:t>
      </w:r>
      <w:r w:rsidRPr="003C171E">
        <w:rPr>
          <w:rFonts w:ascii="Sylfaen" w:hAnsi="Sylfaen" w:cs="Sylfaen"/>
          <w:bCs/>
          <w:noProof/>
          <w:lang w:val="ka-GE"/>
        </w:rPr>
        <w:t>), რაც მშპ-ის 27.2%-ს შეადგენს, ხოლო</w:t>
      </w:r>
      <w:r w:rsidR="00F23BC2" w:rsidRPr="003C171E">
        <w:rPr>
          <w:rFonts w:ascii="Sylfaen" w:hAnsi="Sylfaen" w:cs="Sylfaen"/>
          <w:bCs/>
          <w:noProof/>
          <w:lang w:val="ka-GE"/>
        </w:rPr>
        <w:t xml:space="preserve"> საშუალოვადიან </w:t>
      </w:r>
      <w:r w:rsidR="00AC2672" w:rsidRPr="003C171E">
        <w:rPr>
          <w:rFonts w:ascii="Sylfaen" w:hAnsi="Sylfaen" w:cs="Sylfaen"/>
          <w:bCs/>
          <w:noProof/>
          <w:lang w:val="ka-GE"/>
        </w:rPr>
        <w:t>პერიოდის პროგნოზებში შენარჩუნებულია</w:t>
      </w:r>
      <w:r w:rsidRPr="003C171E">
        <w:rPr>
          <w:rFonts w:ascii="Sylfaen" w:hAnsi="Sylfaen" w:cs="Sylfaen"/>
          <w:bCs/>
          <w:noProof/>
          <w:lang w:val="ka-GE"/>
        </w:rPr>
        <w:t xml:space="preserve"> საშუალოდ</w:t>
      </w:r>
      <w:r w:rsidR="007E59A3" w:rsidRPr="003C171E">
        <w:rPr>
          <w:rFonts w:ascii="Sylfaen" w:hAnsi="Sylfaen" w:cs="Sylfaen"/>
          <w:bCs/>
          <w:noProof/>
          <w:lang w:val="ka-GE"/>
        </w:rPr>
        <w:t xml:space="preserve"> </w:t>
      </w:r>
      <w:r w:rsidRPr="003C171E">
        <w:rPr>
          <w:rFonts w:ascii="Sylfaen" w:hAnsi="Sylfaen" w:cs="Sylfaen"/>
          <w:bCs/>
          <w:noProof/>
          <w:lang w:val="ka-GE"/>
        </w:rPr>
        <w:t xml:space="preserve">26,7%-ის </w:t>
      </w:r>
      <w:r w:rsidR="00F23BC2" w:rsidRPr="003C171E">
        <w:rPr>
          <w:rFonts w:ascii="Sylfaen" w:hAnsi="Sylfaen" w:cs="Sylfaen"/>
          <w:bCs/>
          <w:noProof/>
          <w:lang w:val="ka-GE"/>
        </w:rPr>
        <w:t>ფარგლებში.</w:t>
      </w:r>
    </w:p>
    <w:p w:rsidR="0040580D" w:rsidRDefault="008E2965" w:rsidP="008E2965">
      <w:pPr>
        <w:pStyle w:val="ListParagraph"/>
        <w:ind w:left="0" w:firstLine="720"/>
        <w:jc w:val="both"/>
        <w:rPr>
          <w:rFonts w:ascii="Sylfaen" w:hAnsi="Sylfaen" w:cs="Sylfaen"/>
          <w:lang w:val="ka-GE"/>
        </w:rPr>
      </w:pPr>
      <w:r>
        <w:rPr>
          <w:rFonts w:ascii="Sylfaen" w:hAnsi="Sylfaen" w:cs="Sylfaen"/>
          <w:lang w:val="ka-GE"/>
        </w:rPr>
        <w:t>შ</w:t>
      </w:r>
      <w:r w:rsidR="00175EEC">
        <w:rPr>
          <w:rFonts w:ascii="Sylfaen" w:hAnsi="Sylfaen" w:cs="Sylfaen"/>
          <w:lang w:val="ka-GE"/>
        </w:rPr>
        <w:t xml:space="preserve">ემოსულობების პროგნოზების შედარება და მშპ-სთან პროცენტული ცვლილებები მოცემულია </w:t>
      </w:r>
      <w:r w:rsidR="00175EEC" w:rsidRPr="00175EEC">
        <w:rPr>
          <w:rFonts w:ascii="Sylfaen" w:hAnsi="Sylfaen" w:cs="Sylfaen"/>
          <w:lang w:val="ka-GE"/>
        </w:rPr>
        <w:t>№</w:t>
      </w:r>
      <w:r w:rsidR="00291443">
        <w:rPr>
          <w:rFonts w:ascii="Sylfaen" w:hAnsi="Sylfaen" w:cs="Sylfaen"/>
          <w:lang w:val="ka-GE"/>
        </w:rPr>
        <w:t>6</w:t>
      </w:r>
      <w:r w:rsidR="00175EEC" w:rsidRPr="00175EEC">
        <w:rPr>
          <w:rFonts w:ascii="Sylfaen" w:hAnsi="Sylfaen" w:cs="Sylfaen"/>
          <w:lang w:val="ka-GE"/>
        </w:rPr>
        <w:t xml:space="preserve"> ცხრილში:</w:t>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D04BEA">
        <w:rPr>
          <w:rFonts w:ascii="Sylfaen" w:hAnsi="Sylfaen" w:cs="Sylfaen"/>
          <w:b/>
          <w:bCs/>
          <w:noProof/>
          <w:sz w:val="20"/>
          <w:szCs w:val="22"/>
          <w:lang w:val="ka-GE"/>
        </w:rPr>
        <w:t>ცხრ</w:t>
      </w:r>
      <w:r w:rsidR="00C24549" w:rsidRPr="00D04BEA">
        <w:rPr>
          <w:rFonts w:ascii="Sylfaen" w:hAnsi="Sylfaen" w:cs="Sylfaen"/>
          <w:b/>
          <w:bCs/>
          <w:noProof/>
          <w:sz w:val="20"/>
          <w:szCs w:val="22"/>
          <w:lang w:val="ka-GE"/>
        </w:rPr>
        <w:t>ილი №</w:t>
      </w:r>
      <w:r w:rsidR="00291443" w:rsidRPr="00D04BEA">
        <w:rPr>
          <w:rFonts w:ascii="Sylfaen" w:hAnsi="Sylfaen" w:cs="Sylfaen"/>
          <w:b/>
          <w:bCs/>
          <w:noProof/>
          <w:sz w:val="20"/>
          <w:szCs w:val="22"/>
          <w:lang w:val="ka-GE"/>
        </w:rPr>
        <w:t>6</w:t>
      </w:r>
      <w:r w:rsidR="005E18E6" w:rsidRPr="00D04BEA">
        <w:rPr>
          <w:rFonts w:ascii="Sylfaen" w:hAnsi="Sylfaen" w:cs="Sylfaen"/>
          <w:b/>
          <w:bCs/>
          <w:noProof/>
          <w:sz w:val="20"/>
          <w:szCs w:val="22"/>
          <w:lang w:val="ka-GE"/>
        </w:rPr>
        <w:t xml:space="preserve"> -</w:t>
      </w:r>
      <w:r w:rsidR="00A229BF" w:rsidRPr="00D04BEA">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425"/>
        <w:gridCol w:w="898"/>
        <w:gridCol w:w="1002"/>
        <w:gridCol w:w="1002"/>
        <w:gridCol w:w="1002"/>
        <w:gridCol w:w="1003"/>
        <w:gridCol w:w="1003"/>
        <w:gridCol w:w="1002"/>
      </w:tblGrid>
      <w:tr w:rsidR="00625504" w:rsidRPr="00625504" w:rsidTr="00625504">
        <w:trPr>
          <w:trHeight w:val="113"/>
          <w:tblHeader/>
        </w:trPr>
        <w:tc>
          <w:tcPr>
            <w:tcW w:w="1657"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დასახელება</w:t>
            </w:r>
          </w:p>
        </w:tc>
        <w:tc>
          <w:tcPr>
            <w:tcW w:w="435" w:type="pct"/>
            <w:tcBorders>
              <w:top w:val="single" w:sz="4" w:space="0" w:color="B4C6E7"/>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2021</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2022</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2023</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2024</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2025</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2026</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2027</w:t>
            </w:r>
          </w:p>
        </w:tc>
      </w:tr>
      <w:tr w:rsidR="00625504" w:rsidRPr="00625504" w:rsidTr="00625504">
        <w:trPr>
          <w:trHeight w:val="113"/>
          <w:tblHeader/>
        </w:trPr>
        <w:tc>
          <w:tcPr>
            <w:tcW w:w="1657" w:type="pct"/>
            <w:vMerge/>
            <w:tcBorders>
              <w:top w:val="single" w:sz="4" w:space="0" w:color="B4C6E7"/>
              <w:left w:val="single" w:sz="4" w:space="0" w:color="B4C6E7"/>
              <w:bottom w:val="single" w:sz="4" w:space="0" w:color="B4C6E7"/>
              <w:right w:val="single" w:sz="4" w:space="0" w:color="B4C6E7"/>
            </w:tcBorders>
            <w:vAlign w:val="center"/>
            <w:hideMark/>
          </w:tcPr>
          <w:p w:rsidR="00625504" w:rsidRPr="00625504" w:rsidRDefault="00625504" w:rsidP="00625504">
            <w:pPr>
              <w:spacing w:after="0" w:line="240" w:lineRule="auto"/>
              <w:outlineLvl w:val="0"/>
              <w:rPr>
                <w:rFonts w:ascii="Arial" w:eastAsia="Times New Roman" w:hAnsi="Arial" w:cs="Arial"/>
                <w:b/>
                <w:bCs/>
                <w:sz w:val="16"/>
                <w:szCs w:val="18"/>
              </w:rPr>
            </w:pP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ფაქტი</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შემოსავლები</w:t>
            </w:r>
          </w:p>
        </w:tc>
        <w:tc>
          <w:tcPr>
            <w:tcW w:w="43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13 402,0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14 969,0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16 331,0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17 827,0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14 928,0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17 205,0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18 228,0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19 732,0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21 266,0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1 526,0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2 236,0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1 897,0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1 905,0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21 266,0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15 142,7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19 217,0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20 805,0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22 076,0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23 794,0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25 704,0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15 142,7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19 377,6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21 215,0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22 800,0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24 500,0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26 400,0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28 490,0</w:t>
            </w:r>
          </w:p>
        </w:tc>
      </w:tr>
      <w:tr w:rsidR="00625504" w:rsidRPr="00625504" w:rsidTr="00625504">
        <w:trPr>
          <w:trHeight w:val="113"/>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160,6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410,0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724,0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706,0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696,0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არაფინანსური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კლება</w:t>
            </w:r>
          </w:p>
        </w:tc>
        <w:tc>
          <w:tcPr>
            <w:tcW w:w="43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480,0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250,0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421,7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421,7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435,6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300,0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r>
      <w:tr w:rsidR="00625504" w:rsidRPr="00625504" w:rsidTr="00625504">
        <w:trPr>
          <w:trHeight w:val="113"/>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-14,4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კლება</w:t>
            </w:r>
          </w:p>
        </w:tc>
        <w:tc>
          <w:tcPr>
            <w:tcW w:w="43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115,0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115,0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115,0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60,0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15,0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130,0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142,2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440,0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142,2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102,4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440,0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130,0</w:t>
            </w:r>
          </w:p>
        </w:tc>
      </w:tr>
      <w:tr w:rsidR="00625504" w:rsidRPr="00625504" w:rsidTr="00625504">
        <w:trPr>
          <w:trHeight w:val="113"/>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-47,6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4515" w:type="pct"/>
            <w:gridSpan w:val="7"/>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rPr>
            </w:pPr>
            <w:r w:rsidRPr="00625504">
              <w:rPr>
                <w:rFonts w:ascii="Arial" w:eastAsia="Times New Roman" w:hAnsi="Arial" w:cs="Arial"/>
                <w:b/>
                <w:bCs/>
                <w:sz w:val="16"/>
              </w:rPr>
              <w:t xml:space="preserve">% </w:t>
            </w:r>
            <w:r w:rsidRPr="00625504">
              <w:rPr>
                <w:rFonts w:ascii="Sylfaen" w:eastAsia="Times New Roman" w:hAnsi="Sylfaen" w:cs="Arial"/>
                <w:b/>
                <w:bCs/>
                <w:sz w:val="16"/>
              </w:rPr>
              <w:t>მშპ</w:t>
            </w:r>
            <w:r w:rsidRPr="00625504">
              <w:rPr>
                <w:rFonts w:ascii="Arial" w:eastAsia="Times New Roman" w:hAnsi="Arial" w:cs="Arial"/>
                <w:b/>
                <w:bCs/>
                <w:sz w:val="16"/>
              </w:rPr>
              <w:t>-</w:t>
            </w:r>
            <w:r w:rsidRPr="00625504">
              <w:rPr>
                <w:rFonts w:ascii="Sylfaen" w:eastAsia="Times New Roman" w:hAnsi="Sylfaen" w:cs="Arial"/>
                <w:b/>
                <w:bCs/>
                <w:sz w:val="16"/>
              </w:rPr>
              <w:t>თან</w:t>
            </w:r>
          </w:p>
        </w:tc>
        <w:tc>
          <w:tcPr>
            <w:tcW w:w="485" w:type="pct"/>
            <w:tcBorders>
              <w:top w:val="nil"/>
              <w:left w:val="nil"/>
              <w:bottom w:val="nil"/>
              <w:right w:val="nil"/>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rPr>
            </w:pP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შემოსავლები</w:t>
            </w:r>
          </w:p>
        </w:tc>
        <w:tc>
          <w:tcPr>
            <w:tcW w:w="43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25,8%</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25,5%</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26,5%</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25,9%</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25,8%</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25,7%</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0,8%</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25,4%</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27,0%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27,2%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26,9%</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26,8%</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26,6%</w:t>
            </w:r>
          </w:p>
        </w:tc>
      </w:tr>
      <w:tr w:rsidR="00625504" w:rsidRPr="00625504" w:rsidTr="00625504">
        <w:trPr>
          <w:trHeight w:val="113"/>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1,3%</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არაფინანსური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კლება</w:t>
            </w:r>
          </w:p>
        </w:tc>
        <w:tc>
          <w:tcPr>
            <w:tcW w:w="43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0,5%</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0,8%</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0,7%</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r>
      <w:tr w:rsidR="00625504" w:rsidRPr="00625504" w:rsidTr="00625504">
        <w:trPr>
          <w:trHeight w:val="113"/>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კლება</w:t>
            </w:r>
          </w:p>
        </w:tc>
        <w:tc>
          <w:tcPr>
            <w:tcW w:w="2374" w:type="pct"/>
            <w:gridSpan w:val="5"/>
            <w:tcBorders>
              <w:top w:val="single" w:sz="4" w:space="0" w:color="B4C6E7"/>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35" w:type="pct"/>
            <w:tcBorders>
              <w:top w:val="nil"/>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r>
      <w:tr w:rsidR="00625504" w:rsidRPr="00625504" w:rsidTr="00625504">
        <w:trPr>
          <w:trHeight w:val="113"/>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3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85" w:type="pct"/>
            <w:tcBorders>
              <w:top w:val="nil"/>
              <w:left w:val="nil"/>
              <w:bottom w:val="single" w:sz="4" w:space="0" w:color="B4C6E7"/>
              <w:right w:val="single" w:sz="4" w:space="0" w:color="B4C6E7"/>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bl>
    <w:p w:rsidR="00DE1017" w:rsidRDefault="00DE1017" w:rsidP="00DE10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94642B" w:rsidRDefault="00A60FDC" w:rsidP="00252FF9">
      <w:pPr>
        <w:spacing w:after="0" w:line="276" w:lineRule="auto"/>
        <w:ind w:firstLine="720"/>
        <w:jc w:val="both"/>
        <w:rPr>
          <w:rFonts w:ascii="Sylfaen" w:hAnsi="Sylfaen" w:cs="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w:t>
      </w:r>
      <w:r w:rsidR="00B609ED">
        <w:rPr>
          <w:rFonts w:ascii="Sylfaen" w:hAnsi="Sylfaen" w:cs="Sylfaen"/>
          <w:lang w:val="ka-GE"/>
        </w:rPr>
        <w:lastRenderedPageBreak/>
        <w:t xml:space="preserve">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Pr>
          <w:rFonts w:ascii="Sylfaen" w:hAnsi="Sylfaen" w:cs="Sylfaen"/>
          <w:lang w:val="ka-GE"/>
        </w:rPr>
        <w:t xml:space="preserve"> </w:t>
      </w:r>
    </w:p>
    <w:p w:rsidR="00392190" w:rsidRPr="009B18F3" w:rsidRDefault="00252FF9" w:rsidP="00252FF9">
      <w:pPr>
        <w:spacing w:after="0" w:line="276" w:lineRule="auto"/>
        <w:ind w:firstLine="720"/>
        <w:jc w:val="both"/>
        <w:rPr>
          <w:rFonts w:ascii="Sylfaen" w:hAnsi="Sylfaen" w:cs="Sylfaen"/>
          <w:lang w:val="ka-GE"/>
        </w:rPr>
      </w:pPr>
      <w:r>
        <w:rPr>
          <w:rFonts w:ascii="Sylfaen" w:hAnsi="Sylfaen" w:cs="Sylfaen"/>
          <w:lang w:val="ka-GE"/>
        </w:rPr>
        <w:t xml:space="preserve">ამასთან, </w:t>
      </w:r>
      <w:r w:rsidR="003D1E12">
        <w:rPr>
          <w:rFonts w:ascii="Sylfaen" w:hAnsi="Sylfaen" w:cs="Sylfaen"/>
          <w:lang w:val="ka-GE"/>
        </w:rPr>
        <w:t xml:space="preserve">ჯამში </w:t>
      </w:r>
      <w:r w:rsidR="003D1E12" w:rsidRPr="00B05A47">
        <w:rPr>
          <w:rFonts w:ascii="Sylfaen" w:hAnsi="Sylfaen" w:cs="Sylfaen"/>
          <w:lang w:val="ka-GE"/>
        </w:rPr>
        <w:t>ვალდებულებების ზრდა</w:t>
      </w:r>
      <w:r>
        <w:rPr>
          <w:rFonts w:ascii="Sylfaen" w:hAnsi="Sylfaen" w:cs="Sylfaen"/>
          <w:lang w:val="ka-GE"/>
        </w:rPr>
        <w:t xml:space="preserve"> 2023 </w:t>
      </w:r>
      <w:r w:rsidR="003D1E12" w:rsidRPr="00B05A47">
        <w:rPr>
          <w:rFonts w:ascii="Sylfaen" w:hAnsi="Sylfaen" w:cs="Sylfaen"/>
          <w:lang w:val="ka-GE"/>
        </w:rPr>
        <w:t>წ</w:t>
      </w:r>
      <w:r>
        <w:rPr>
          <w:rFonts w:ascii="Sylfaen" w:hAnsi="Sylfaen" w:cs="Sylfaen"/>
          <w:lang w:val="ka-GE"/>
        </w:rPr>
        <w:t xml:space="preserve">ელს </w:t>
      </w:r>
      <w:r w:rsidR="0094642B">
        <w:rPr>
          <w:rFonts w:ascii="Sylfaen" w:hAnsi="Sylfaen" w:cs="Sylfaen"/>
          <w:lang w:val="ka-GE"/>
        </w:rPr>
        <w:t xml:space="preserve">და შემდგომ საშუალოვადიან პერიოდში </w:t>
      </w:r>
      <w:r w:rsidR="007E59A3">
        <w:rPr>
          <w:rFonts w:ascii="Sylfaen" w:hAnsi="Sylfaen" w:cs="Sylfaen"/>
          <w:lang w:val="ka-GE"/>
        </w:rPr>
        <w:t xml:space="preserve">მცირედით გაზრდილია </w:t>
      </w:r>
      <w:r w:rsidR="007716A2">
        <w:rPr>
          <w:rFonts w:ascii="Sylfaen" w:hAnsi="Sylfaen" w:cs="Sylfaen"/>
          <w:lang w:val="ka-GE"/>
        </w:rPr>
        <w:t>წინა წლის</w:t>
      </w:r>
      <w:r w:rsidR="007E59A3">
        <w:rPr>
          <w:rFonts w:ascii="Sylfaen" w:hAnsi="Sylfaen" w:cs="Sylfaen"/>
          <w:lang w:val="ka-GE"/>
        </w:rPr>
        <w:t xml:space="preserve"> პროგნოზთან შედარებით</w:t>
      </w:r>
      <w:r>
        <w:rPr>
          <w:rFonts w:ascii="Sylfaen" w:hAnsi="Sylfaen" w:cs="Sylfaen"/>
          <w:lang w:val="ka-GE"/>
        </w:rPr>
        <w:t>.</w:t>
      </w:r>
    </w:p>
    <w:p w:rsidR="00044987"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291443">
        <w:rPr>
          <w:rFonts w:ascii="Sylfaen" w:hAnsi="Sylfaen" w:cs="Sylfaen"/>
          <w:bCs/>
          <w:noProof/>
          <w:sz w:val="20"/>
          <w:lang w:val="ka-GE"/>
        </w:rPr>
        <w:t>7</w:t>
      </w:r>
      <w:r w:rsidR="00C24549">
        <w:rPr>
          <w:rFonts w:ascii="Sylfaen" w:hAnsi="Sylfaen"/>
          <w:lang w:val="ka-GE"/>
        </w:rPr>
        <w:t>)</w:t>
      </w:r>
      <w:r w:rsidRPr="00C9780C">
        <w:rPr>
          <w:rFonts w:ascii="Sylfaen" w:hAnsi="Sylfaen"/>
          <w:lang w:val="ka-GE"/>
        </w:rPr>
        <w:t xml:space="preserve"> წარმოდგენილია ვალდებულებების ზრდის პროგნოზები 202</w:t>
      </w:r>
      <w:r w:rsidR="007716A2">
        <w:rPr>
          <w:rFonts w:ascii="Sylfaen" w:hAnsi="Sylfaen"/>
          <w:lang w:val="ka-GE"/>
        </w:rPr>
        <w:t>1</w:t>
      </w:r>
      <w:r w:rsidRPr="00C9780C">
        <w:rPr>
          <w:rFonts w:ascii="Sylfaen" w:hAnsi="Sylfaen"/>
          <w:lang w:val="ka-GE"/>
        </w:rPr>
        <w:t>-202</w:t>
      </w:r>
      <w:r w:rsidR="007716A2">
        <w:rPr>
          <w:rFonts w:ascii="Sylfaen" w:hAnsi="Sylfaen"/>
          <w:lang w:val="ka-GE"/>
        </w:rPr>
        <w:t>7</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000" w:type="pct"/>
        <w:tblLook w:val="04A0" w:firstRow="1" w:lastRow="0" w:firstColumn="1" w:lastColumn="0" w:noHBand="0" w:noVBand="1"/>
      </w:tblPr>
      <w:tblGrid>
        <w:gridCol w:w="3323"/>
        <w:gridCol w:w="1002"/>
        <w:gridCol w:w="1002"/>
        <w:gridCol w:w="1002"/>
        <w:gridCol w:w="1002"/>
        <w:gridCol w:w="1002"/>
        <w:gridCol w:w="1002"/>
        <w:gridCol w:w="1002"/>
      </w:tblGrid>
      <w:tr w:rsidR="00625504" w:rsidRPr="00625504" w:rsidTr="00625504">
        <w:trPr>
          <w:trHeight w:val="113"/>
          <w:tblHeader/>
        </w:trPr>
        <w:tc>
          <w:tcPr>
            <w:tcW w:w="1694"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დასახელება</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2021</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2022</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2023</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2024</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2025</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2026</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2027</w:t>
            </w:r>
          </w:p>
        </w:tc>
      </w:tr>
      <w:tr w:rsidR="00625504" w:rsidRPr="00625504" w:rsidTr="00625504">
        <w:trPr>
          <w:trHeight w:val="113"/>
          <w:tblHeader/>
        </w:trPr>
        <w:tc>
          <w:tcPr>
            <w:tcW w:w="1694" w:type="pct"/>
            <w:vMerge/>
            <w:tcBorders>
              <w:top w:val="single" w:sz="4" w:space="0" w:color="BDD7EE"/>
              <w:left w:val="single" w:sz="4" w:space="0" w:color="BDD7EE"/>
              <w:bottom w:val="single" w:sz="4" w:space="0" w:color="BDD7EE"/>
              <w:right w:val="single" w:sz="4" w:space="0" w:color="BDD7EE"/>
            </w:tcBorders>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20"/>
              </w:rPr>
            </w:pPr>
            <w:r w:rsidRPr="00625504">
              <w:rPr>
                <w:rFonts w:ascii="Sylfaen" w:eastAsia="Times New Roman" w:hAnsi="Sylfaen" w:cs="Arial"/>
                <w:b/>
                <w:bCs/>
                <w:sz w:val="16"/>
                <w:szCs w:val="20"/>
              </w:rPr>
              <w:t>ვალდებულებების ზრდა</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5 249,0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3 120,0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3 650,0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4 115,0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4 955,0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4 337,0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3 485,0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-294,0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1 217,0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-165,0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-630,0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5 216,9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3 582,0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3 584,0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3 560,0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3 660,0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5 020,0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5 216,9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3 722,8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3 629,0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3 595,0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3 695,0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5 055,0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3 820,0</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140,8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35,0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ind w:firstLineChars="300" w:firstLine="482"/>
              <w:outlineLvl w:val="0"/>
              <w:rPr>
                <w:rFonts w:ascii="Sylfaen" w:eastAsia="Times New Roman" w:hAnsi="Sylfaen" w:cs="Arial"/>
                <w:b/>
                <w:bCs/>
                <w:sz w:val="16"/>
                <w:szCs w:val="20"/>
              </w:rPr>
            </w:pPr>
            <w:r w:rsidRPr="00625504">
              <w:rPr>
                <w:rFonts w:ascii="Sylfaen" w:eastAsia="Times New Roman" w:hAnsi="Sylfaen" w:cs="Arial"/>
                <w:b/>
                <w:bCs/>
                <w:sz w:val="16"/>
                <w:szCs w:val="20"/>
              </w:rPr>
              <w:t>მ</w:t>
            </w:r>
            <w:r w:rsidRPr="00625504">
              <w:rPr>
                <w:rFonts w:ascii="Arial" w:eastAsia="Times New Roman" w:hAnsi="Arial" w:cs="Arial"/>
                <w:b/>
                <w:bCs/>
                <w:sz w:val="16"/>
                <w:szCs w:val="20"/>
              </w:rPr>
              <w:t>.</w:t>
            </w:r>
            <w:r w:rsidRPr="00625504">
              <w:rPr>
                <w:rFonts w:ascii="Sylfaen" w:eastAsia="Times New Roman" w:hAnsi="Sylfaen" w:cs="Arial"/>
                <w:b/>
                <w:bCs/>
                <w:sz w:val="16"/>
                <w:szCs w:val="20"/>
              </w:rPr>
              <w:t>შ</w:t>
            </w:r>
            <w:r w:rsidRPr="00625504">
              <w:rPr>
                <w:rFonts w:ascii="Arial" w:eastAsia="Times New Roman" w:hAnsi="Arial" w:cs="Arial"/>
                <w:b/>
                <w:bCs/>
                <w:sz w:val="16"/>
                <w:szCs w:val="20"/>
              </w:rPr>
              <w:t xml:space="preserve">. </w:t>
            </w:r>
            <w:r w:rsidRPr="00625504">
              <w:rPr>
                <w:rFonts w:ascii="Sylfaen" w:eastAsia="Times New Roman" w:hAnsi="Sylfaen" w:cs="Arial"/>
                <w:b/>
                <w:bCs/>
                <w:sz w:val="16"/>
                <w:szCs w:val="20"/>
              </w:rPr>
              <w:t>საშინაო</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975,0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1 175,0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1 475,0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-335,0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1 285,0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1 485,0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1 485,0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-305,0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310,0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210,0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-336,7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1 240,0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1 340,0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1 460,0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1 560,0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1 620,0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-336,7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1 337,3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1 495,0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1 595,0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1 655,0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1 820,0</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97,3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35,0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ind w:firstLineChars="300" w:firstLine="482"/>
              <w:outlineLvl w:val="0"/>
              <w:rPr>
                <w:rFonts w:ascii="Sylfaen" w:eastAsia="Times New Roman" w:hAnsi="Sylfaen" w:cs="Arial"/>
                <w:b/>
                <w:bCs/>
                <w:sz w:val="16"/>
                <w:szCs w:val="20"/>
              </w:rPr>
            </w:pPr>
            <w:r w:rsidRPr="00625504">
              <w:rPr>
                <w:rFonts w:ascii="Sylfaen" w:eastAsia="Times New Roman" w:hAnsi="Sylfaen" w:cs="Arial"/>
                <w:b/>
                <w:bCs/>
                <w:sz w:val="16"/>
                <w:szCs w:val="20"/>
              </w:rPr>
              <w:t>მ</w:t>
            </w:r>
            <w:r w:rsidRPr="00625504">
              <w:rPr>
                <w:rFonts w:ascii="Arial" w:eastAsia="Times New Roman" w:hAnsi="Arial" w:cs="Arial"/>
                <w:b/>
                <w:bCs/>
                <w:sz w:val="16"/>
                <w:szCs w:val="20"/>
              </w:rPr>
              <w:t>.</w:t>
            </w:r>
            <w:r w:rsidRPr="00625504">
              <w:rPr>
                <w:rFonts w:ascii="Sylfaen" w:eastAsia="Times New Roman" w:hAnsi="Sylfaen" w:cs="Arial"/>
                <w:b/>
                <w:bCs/>
                <w:sz w:val="16"/>
                <w:szCs w:val="20"/>
              </w:rPr>
              <w:t>შ</w:t>
            </w:r>
            <w:r w:rsidRPr="00625504">
              <w:rPr>
                <w:rFonts w:ascii="Arial" w:eastAsia="Times New Roman" w:hAnsi="Arial" w:cs="Arial"/>
                <w:b/>
                <w:bCs/>
                <w:sz w:val="16"/>
                <w:szCs w:val="20"/>
              </w:rPr>
              <w:t xml:space="preserve">. </w:t>
            </w:r>
            <w:r w:rsidRPr="00625504">
              <w:rPr>
                <w:rFonts w:ascii="Sylfaen" w:eastAsia="Times New Roman" w:hAnsi="Sylfaen" w:cs="Arial"/>
                <w:b/>
                <w:bCs/>
                <w:sz w:val="16"/>
                <w:szCs w:val="20"/>
              </w:rPr>
              <w:t>საგარეო</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r w:rsidRPr="00625504">
              <w:rPr>
                <w:rFonts w:ascii="Arial" w:eastAsia="Times New Roman" w:hAnsi="Arial" w:cs="Arial"/>
                <w:b/>
                <w:bCs/>
                <w:sz w:val="16"/>
                <w:szCs w:val="20"/>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5 279,0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2 145,0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2 475,0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2 640,0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5 290,0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3 052,0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2 000,0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2 000,0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11,0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907,0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-375,0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-640,0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5 553,6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2 342,0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2 244,0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3 400,0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5 553,6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2 385,5</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2 244,0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3 400,0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2 000,0</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43,5</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4055" w:type="pct"/>
            <w:gridSpan w:val="6"/>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მშპ</w:t>
            </w:r>
            <w:r w:rsidRPr="00625504">
              <w:rPr>
                <w:rFonts w:ascii="Arial" w:eastAsia="Times New Roman" w:hAnsi="Arial" w:cs="Arial"/>
                <w:b/>
                <w:bCs/>
                <w:sz w:val="16"/>
                <w:szCs w:val="18"/>
              </w:rPr>
              <w:t>-</w:t>
            </w:r>
            <w:r w:rsidRPr="00625504">
              <w:rPr>
                <w:rFonts w:ascii="Sylfaen" w:eastAsia="Times New Roman" w:hAnsi="Sylfaen" w:cs="Arial"/>
                <w:b/>
                <w:bCs/>
                <w:sz w:val="16"/>
                <w:szCs w:val="18"/>
              </w:rPr>
              <w:t>თან</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 </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20"/>
              </w:rPr>
            </w:pPr>
            <w:r w:rsidRPr="00625504">
              <w:rPr>
                <w:rFonts w:ascii="Sylfaen" w:eastAsia="Times New Roman" w:hAnsi="Sylfaen" w:cs="Arial"/>
                <w:b/>
                <w:bCs/>
                <w:sz w:val="16"/>
                <w:szCs w:val="20"/>
              </w:rPr>
              <w:t>ვალდებულებების ზრდა</w:t>
            </w:r>
          </w:p>
        </w:tc>
        <w:tc>
          <w:tcPr>
            <w:tcW w:w="2361"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9,8%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5,4%</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8,5%</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4,2%</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-1,4%</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-1,4%</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8,7%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4,5%</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5,0%</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8,7%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5,2%</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4,2%</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3,6%</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0,2%</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ind w:firstLineChars="300" w:firstLine="482"/>
              <w:outlineLvl w:val="0"/>
              <w:rPr>
                <w:rFonts w:ascii="Sylfaen" w:eastAsia="Times New Roman" w:hAnsi="Sylfaen" w:cs="Arial"/>
                <w:b/>
                <w:bCs/>
                <w:i/>
                <w:iCs/>
                <w:sz w:val="16"/>
                <w:szCs w:val="20"/>
              </w:rPr>
            </w:pPr>
            <w:r w:rsidRPr="00625504">
              <w:rPr>
                <w:rFonts w:ascii="Sylfaen" w:eastAsia="Times New Roman" w:hAnsi="Sylfaen" w:cs="Arial"/>
                <w:b/>
                <w:bCs/>
                <w:i/>
                <w:iCs/>
                <w:sz w:val="16"/>
                <w:szCs w:val="20"/>
              </w:rPr>
              <w:t>მ</w:t>
            </w:r>
            <w:r w:rsidRPr="00625504">
              <w:rPr>
                <w:rFonts w:ascii="Arial" w:eastAsia="Times New Roman" w:hAnsi="Arial" w:cs="Arial"/>
                <w:b/>
                <w:bCs/>
                <w:i/>
                <w:iCs/>
                <w:sz w:val="16"/>
                <w:szCs w:val="20"/>
              </w:rPr>
              <w:t>.</w:t>
            </w:r>
            <w:r w:rsidRPr="00625504">
              <w:rPr>
                <w:rFonts w:ascii="Sylfaen" w:eastAsia="Times New Roman" w:hAnsi="Sylfaen" w:cs="Arial"/>
                <w:b/>
                <w:bCs/>
                <w:i/>
                <w:iCs/>
                <w:sz w:val="16"/>
                <w:szCs w:val="20"/>
              </w:rPr>
              <w:t>შ</w:t>
            </w:r>
            <w:r w:rsidRPr="00625504">
              <w:rPr>
                <w:rFonts w:ascii="Arial" w:eastAsia="Times New Roman" w:hAnsi="Arial" w:cs="Arial"/>
                <w:b/>
                <w:bCs/>
                <w:i/>
                <w:iCs/>
                <w:sz w:val="16"/>
                <w:szCs w:val="20"/>
              </w:rPr>
              <w:t xml:space="preserve">. </w:t>
            </w:r>
            <w:r w:rsidRPr="00625504">
              <w:rPr>
                <w:rFonts w:ascii="Sylfaen" w:eastAsia="Times New Roman" w:hAnsi="Sylfaen" w:cs="Arial"/>
                <w:b/>
                <w:bCs/>
                <w:i/>
                <w:iCs/>
                <w:sz w:val="16"/>
                <w:szCs w:val="20"/>
              </w:rPr>
              <w:t>საშინაო</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-0,5%</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-0,2%</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1,6%</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ind w:firstLineChars="300" w:firstLine="482"/>
              <w:outlineLvl w:val="0"/>
              <w:rPr>
                <w:rFonts w:ascii="Sylfaen" w:eastAsia="Times New Roman" w:hAnsi="Sylfaen" w:cs="Arial"/>
                <w:b/>
                <w:bCs/>
                <w:i/>
                <w:iCs/>
                <w:sz w:val="16"/>
                <w:szCs w:val="20"/>
              </w:rPr>
            </w:pPr>
            <w:r w:rsidRPr="00625504">
              <w:rPr>
                <w:rFonts w:ascii="Sylfaen" w:eastAsia="Times New Roman" w:hAnsi="Sylfaen" w:cs="Arial"/>
                <w:b/>
                <w:bCs/>
                <w:i/>
                <w:iCs/>
                <w:sz w:val="16"/>
                <w:szCs w:val="20"/>
              </w:rPr>
              <w:t>მ</w:t>
            </w:r>
            <w:r w:rsidRPr="00625504">
              <w:rPr>
                <w:rFonts w:ascii="Arial" w:eastAsia="Times New Roman" w:hAnsi="Arial" w:cs="Arial"/>
                <w:b/>
                <w:bCs/>
                <w:i/>
                <w:iCs/>
                <w:sz w:val="16"/>
                <w:szCs w:val="20"/>
              </w:rPr>
              <w:t>.</w:t>
            </w:r>
            <w:r w:rsidRPr="00625504">
              <w:rPr>
                <w:rFonts w:ascii="Sylfaen" w:eastAsia="Times New Roman" w:hAnsi="Sylfaen" w:cs="Arial"/>
                <w:b/>
                <w:bCs/>
                <w:i/>
                <w:iCs/>
                <w:sz w:val="16"/>
                <w:szCs w:val="20"/>
              </w:rPr>
              <w:t>შ</w:t>
            </w:r>
            <w:r w:rsidRPr="00625504">
              <w:rPr>
                <w:rFonts w:ascii="Arial" w:eastAsia="Times New Roman" w:hAnsi="Arial" w:cs="Arial"/>
                <w:b/>
                <w:bCs/>
                <w:i/>
                <w:iCs/>
                <w:sz w:val="16"/>
                <w:szCs w:val="20"/>
              </w:rPr>
              <w:t xml:space="preserve">. </w:t>
            </w:r>
            <w:r w:rsidRPr="00625504">
              <w:rPr>
                <w:rFonts w:ascii="Sylfaen" w:eastAsia="Times New Roman" w:hAnsi="Sylfaen" w:cs="Arial"/>
                <w:b/>
                <w:bCs/>
                <w:i/>
                <w:iCs/>
                <w:sz w:val="16"/>
                <w:szCs w:val="20"/>
              </w:rPr>
              <w:t>საგარეო</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625504" w:rsidRPr="00625504" w:rsidRDefault="00625504" w:rsidP="00625504">
            <w:pPr>
              <w:spacing w:after="0" w:line="240" w:lineRule="auto"/>
              <w:outlineLvl w:val="0"/>
              <w:rPr>
                <w:rFonts w:ascii="Arial" w:eastAsia="Times New Roman" w:hAnsi="Arial" w:cs="Arial"/>
                <w:b/>
                <w:bCs/>
                <w:i/>
                <w:iCs/>
                <w:sz w:val="16"/>
                <w:szCs w:val="20"/>
              </w:rPr>
            </w:pPr>
            <w:r w:rsidRPr="00625504">
              <w:rPr>
                <w:rFonts w:ascii="Arial" w:eastAsia="Times New Roman" w:hAnsi="Arial" w:cs="Arial"/>
                <w:b/>
                <w:bCs/>
                <w:i/>
                <w:iCs/>
                <w:sz w:val="16"/>
                <w:szCs w:val="20"/>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9,9%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3,8%</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9,0%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4,7%</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2,6%</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2,4%</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-1,2%</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9,3%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3,2%</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2,8%</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2,4%</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3,4%</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9,3%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2,9%</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2,3%</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3,4%</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w:t>
            </w:r>
          </w:p>
        </w:tc>
      </w:tr>
      <w:tr w:rsidR="00625504" w:rsidRPr="00625504" w:rsidTr="00625504">
        <w:trPr>
          <w:trHeight w:val="113"/>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0,1%</w:t>
            </w:r>
          </w:p>
        </w:tc>
        <w:tc>
          <w:tcPr>
            <w:tcW w:w="472" w:type="pct"/>
            <w:tcBorders>
              <w:top w:val="nil"/>
              <w:left w:val="nil"/>
              <w:bottom w:val="single" w:sz="4" w:space="0" w:color="BDD7EE"/>
              <w:right w:val="single" w:sz="4" w:space="0" w:color="BDD7EE"/>
            </w:tcBorders>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5C64F7" w:rsidRDefault="007E59A3" w:rsidP="0041266C">
      <w:pPr>
        <w:tabs>
          <w:tab w:val="left" w:pos="90"/>
        </w:tabs>
        <w:spacing w:after="0" w:line="276" w:lineRule="auto"/>
        <w:ind w:firstLine="720"/>
        <w:jc w:val="both"/>
        <w:rPr>
          <w:rFonts w:ascii="Sylfaen" w:hAnsi="Sylfaen" w:cs="Sylfaen"/>
          <w:bCs/>
          <w:noProof/>
          <w:lang w:val="ka-GE"/>
        </w:rPr>
      </w:pPr>
      <w:r w:rsidRPr="003C171E">
        <w:rPr>
          <w:rFonts w:ascii="Sylfaen" w:hAnsi="Sylfaen" w:cs="Sylfaen"/>
          <w:bCs/>
          <w:noProof/>
          <w:lang w:val="ka-GE"/>
        </w:rPr>
        <w:t xml:space="preserve">პანდემიის საპასუხო ღონისძიებების დაფინანსების შედეგად, 2020-2021 წლებში მნიშვნელოვნად გაიზარდა მიმდინარე ხარჯების მოცულობა და მშპ-სთან მიმართებაში 2020 წელს 26,3%, ხოლო 2021 </w:t>
      </w:r>
      <w:r w:rsidRPr="003C171E">
        <w:rPr>
          <w:rFonts w:ascii="Sylfaen" w:hAnsi="Sylfaen" w:cs="Sylfaen"/>
          <w:bCs/>
          <w:noProof/>
          <w:lang w:val="ka-GE"/>
        </w:rPr>
        <w:lastRenderedPageBreak/>
        <w:t>წელს 24,6% შეადგინა</w:t>
      </w:r>
      <w:r w:rsidR="0094642B">
        <w:rPr>
          <w:rFonts w:ascii="Sylfaen" w:hAnsi="Sylfaen" w:cs="Sylfaen"/>
          <w:bCs/>
          <w:noProof/>
          <w:lang w:val="ka-GE"/>
        </w:rPr>
        <w:t xml:space="preserve">. თუმცა, </w:t>
      </w:r>
      <w:r w:rsidR="001A6A94">
        <w:rPr>
          <w:rFonts w:ascii="Sylfaen" w:hAnsi="Sylfaen" w:cs="Sylfaen"/>
          <w:bCs/>
          <w:noProof/>
          <w:lang w:val="ka-GE"/>
        </w:rPr>
        <w:t xml:space="preserve">2022 წელს პანდემიასთან დაკავშირებული ხარჯები მნიშვნელოვნად შემცირდა. </w:t>
      </w:r>
      <w:r w:rsidRPr="003C171E">
        <w:rPr>
          <w:rFonts w:ascii="Sylfaen" w:hAnsi="Sylfaen" w:cs="Sylfaen"/>
          <w:bCs/>
          <w:noProof/>
          <w:lang w:val="ka-GE"/>
        </w:rPr>
        <w:t xml:space="preserve">2022 წელს მიმდინარე ხარჯების </w:t>
      </w:r>
      <w:r w:rsidR="001A6A94">
        <w:rPr>
          <w:rFonts w:ascii="Sylfaen" w:hAnsi="Sylfaen" w:cs="Sylfaen"/>
          <w:bCs/>
          <w:noProof/>
          <w:lang w:val="ka-GE"/>
        </w:rPr>
        <w:t>ფაქტიური</w:t>
      </w:r>
      <w:r w:rsidRPr="003C171E">
        <w:rPr>
          <w:rFonts w:ascii="Sylfaen" w:hAnsi="Sylfaen" w:cs="Sylfaen"/>
          <w:bCs/>
          <w:noProof/>
          <w:lang w:val="ka-GE"/>
        </w:rPr>
        <w:t xml:space="preserve"> </w:t>
      </w:r>
      <w:r w:rsidR="001A6A94">
        <w:rPr>
          <w:rFonts w:ascii="Sylfaen" w:hAnsi="Sylfaen" w:cs="Sylfaen"/>
          <w:bCs/>
          <w:noProof/>
          <w:lang w:val="ka-GE"/>
        </w:rPr>
        <w:t>მოცულობამ ჯამში შეადგინა</w:t>
      </w:r>
      <w:r w:rsidRPr="003C171E">
        <w:rPr>
          <w:rFonts w:ascii="Sylfaen" w:hAnsi="Sylfaen" w:cs="Sylfaen"/>
          <w:bCs/>
          <w:noProof/>
          <w:lang w:val="ka-GE"/>
        </w:rPr>
        <w:t xml:space="preserve"> 15,</w:t>
      </w:r>
      <w:r w:rsidR="001A6A94">
        <w:rPr>
          <w:rFonts w:ascii="Sylfaen" w:hAnsi="Sylfaen" w:cs="Sylfaen"/>
          <w:bCs/>
          <w:noProof/>
          <w:lang w:val="ka-GE"/>
        </w:rPr>
        <w:t>6</w:t>
      </w:r>
      <w:r w:rsidRPr="003C171E">
        <w:rPr>
          <w:rFonts w:ascii="Sylfaen" w:hAnsi="Sylfaen" w:cs="Sylfaen"/>
          <w:bCs/>
          <w:noProof/>
          <w:lang w:val="ka-GE"/>
        </w:rPr>
        <w:t xml:space="preserve"> მლრდ ლარი, რაც მშპ-ს 21,8%-ს შეადგენს. </w:t>
      </w:r>
    </w:p>
    <w:p w:rsidR="0094642B" w:rsidRDefault="007E59A3" w:rsidP="0094642B">
      <w:pPr>
        <w:tabs>
          <w:tab w:val="left" w:pos="90"/>
        </w:tabs>
        <w:spacing w:after="0" w:line="276" w:lineRule="auto"/>
        <w:ind w:firstLine="720"/>
        <w:jc w:val="both"/>
        <w:rPr>
          <w:rFonts w:ascii="Sylfaen" w:hAnsi="Sylfaen" w:cs="Sylfaen"/>
          <w:bCs/>
          <w:noProof/>
          <w:lang w:val="ka-GE"/>
        </w:rPr>
      </w:pPr>
      <w:r w:rsidRPr="003C171E">
        <w:rPr>
          <w:rFonts w:ascii="Sylfaen" w:hAnsi="Sylfaen" w:cs="Sylfaen"/>
          <w:bCs/>
          <w:noProof/>
          <w:lang w:val="ka-GE"/>
        </w:rPr>
        <w:t xml:space="preserve">2023 წელს </w:t>
      </w:r>
      <w:r w:rsidR="005C64F7">
        <w:rPr>
          <w:rFonts w:ascii="Sylfaen" w:hAnsi="Sylfaen" w:cs="Sylfaen"/>
          <w:bCs/>
          <w:noProof/>
          <w:lang w:val="ka-GE"/>
        </w:rPr>
        <w:t xml:space="preserve">ნაერთი ბიუჯეტის </w:t>
      </w:r>
      <w:r w:rsidRPr="003C171E">
        <w:rPr>
          <w:rFonts w:ascii="Sylfaen" w:hAnsi="Sylfaen" w:cs="Sylfaen"/>
          <w:bCs/>
          <w:noProof/>
          <w:lang w:val="ka-GE"/>
        </w:rPr>
        <w:t xml:space="preserve">მიმდინარე ხარჯების </w:t>
      </w:r>
      <w:r w:rsidR="005C64F7">
        <w:rPr>
          <w:rFonts w:ascii="Sylfaen" w:hAnsi="Sylfaen" w:cs="Sylfaen"/>
          <w:bCs/>
          <w:noProof/>
          <w:lang w:val="ka-GE"/>
        </w:rPr>
        <w:t>მოცულობა 2022 წლის დეკემბერში დაიგეგმა 17.4 მლრდ ლარზე მეტი ოდენობით</w:t>
      </w:r>
      <w:r w:rsidRPr="003C171E">
        <w:rPr>
          <w:rFonts w:ascii="Sylfaen" w:hAnsi="Sylfaen" w:cs="Sylfaen"/>
          <w:bCs/>
          <w:noProof/>
          <w:lang w:val="ka-GE"/>
        </w:rPr>
        <w:t>, რაც მშპ-ის 21,</w:t>
      </w:r>
      <w:r w:rsidR="005C64F7">
        <w:rPr>
          <w:rFonts w:ascii="Sylfaen" w:hAnsi="Sylfaen" w:cs="Sylfaen"/>
          <w:bCs/>
          <w:noProof/>
          <w:lang w:val="ka-GE"/>
        </w:rPr>
        <w:t>9</w:t>
      </w:r>
      <w:r w:rsidRPr="003C171E">
        <w:rPr>
          <w:rFonts w:ascii="Sylfaen" w:hAnsi="Sylfaen" w:cs="Sylfaen"/>
          <w:bCs/>
          <w:noProof/>
          <w:lang w:val="ka-GE"/>
        </w:rPr>
        <w:t>%-</w:t>
      </w:r>
      <w:r w:rsidR="001A6A94">
        <w:rPr>
          <w:rFonts w:ascii="Sylfaen" w:hAnsi="Sylfaen" w:cs="Sylfaen"/>
          <w:bCs/>
          <w:noProof/>
          <w:lang w:val="ka-GE"/>
        </w:rPr>
        <w:t>ი</w:t>
      </w:r>
      <w:r w:rsidR="005C64F7">
        <w:rPr>
          <w:rFonts w:ascii="Sylfaen" w:hAnsi="Sylfaen" w:cs="Sylfaen"/>
          <w:bCs/>
          <w:noProof/>
          <w:lang w:val="ka-GE"/>
        </w:rPr>
        <w:t>ს ფარგლებშია, თუმცა გადამუშავებულ პროგნოზებში მიმდინარე ხარჯების მოცულობა გაზრდილია 17,7 მლრდ ლარამდე, რაც მშპ-ის 22,6%-ია განახლებული მშპ-ის პროგნოზის გათვალისწინებით</w:t>
      </w:r>
      <w:r w:rsidR="001A6A94">
        <w:rPr>
          <w:rFonts w:ascii="Sylfaen" w:hAnsi="Sylfaen" w:cs="Sylfaen"/>
          <w:bCs/>
          <w:noProof/>
          <w:lang w:val="ka-GE"/>
        </w:rPr>
        <w:t>.</w:t>
      </w:r>
    </w:p>
    <w:p w:rsidR="0094642B" w:rsidRDefault="0094642B" w:rsidP="0094642B">
      <w:pPr>
        <w:tabs>
          <w:tab w:val="left" w:pos="90"/>
        </w:tabs>
        <w:spacing w:after="0" w:line="276" w:lineRule="auto"/>
        <w:ind w:firstLine="720"/>
        <w:jc w:val="both"/>
        <w:rPr>
          <w:rFonts w:ascii="Sylfaen" w:hAnsi="Sylfaen" w:cs="Sylfaen"/>
          <w:bCs/>
          <w:noProof/>
          <w:lang w:val="ka-GE"/>
        </w:rPr>
      </w:pPr>
      <w:r>
        <w:rPr>
          <w:rFonts w:ascii="Sylfaen" w:hAnsi="Sylfaen" w:cs="Sylfaen"/>
          <w:bCs/>
          <w:noProof/>
          <w:lang w:val="ka-GE"/>
        </w:rPr>
        <w:t xml:space="preserve">მიმდინარე ხარჯების ზრდა ძირითადად გამოწვეულია სოციალური და ჯანმრთელობის დაცვის მიმართულებით ბენეფიციარების გაზრდით, ასევე, მოსახლეობის საყოველთაო ჯანმრთელობის დაცვის პროგრამის ფარგლებში </w:t>
      </w:r>
      <w:r>
        <w:rPr>
          <w:rFonts w:ascii="Sylfaen" w:hAnsi="Sylfaen" w:cs="Sylfaen"/>
          <w:bCs/>
          <w:noProof/>
        </w:rPr>
        <w:t>DRG-</w:t>
      </w:r>
      <w:r>
        <w:rPr>
          <w:rFonts w:ascii="Sylfaen" w:hAnsi="Sylfaen" w:cs="Sylfaen"/>
          <w:bCs/>
          <w:noProof/>
          <w:lang w:val="ka-GE"/>
        </w:rPr>
        <w:t xml:space="preserve">ის (დიაგნოზთან შეჭიდული ჯგუფები) პრინციპით სამედიცინო მომსახურების საერთაშორისო სტანდარტებთან შესაბამისი სატარიფო სისტემით გადახდის მექანიზმების სრულყოფილად დანერგვის დაწყებით, რაც საწყის ეტაპზე მოითხოვს დამატებით ფინანსურ რესურსებს, თუმცა გრძელვადიან პერიოდში უზრუნველყოფს საჯარო ფინანსების უფრო ეფექტიან გამოყენებას. </w:t>
      </w:r>
    </w:p>
    <w:p w:rsidR="0094642B" w:rsidRDefault="0094642B"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t xml:space="preserve">ამასთან, ჯანმრთელობის დაცვის მიმართულებით დაგეგმილია ახალი პოლიტიკის მიმართულების დაფინანსება, რაც გულისხმობს </w:t>
      </w:r>
      <w:r w:rsidRPr="005C64F7">
        <w:rPr>
          <w:rFonts w:ascii="Sylfaen" w:hAnsi="Sylfaen" w:cs="Sylfaen"/>
          <w:bCs/>
          <w:noProof/>
          <w:sz w:val="22"/>
          <w:szCs w:val="22"/>
          <w:lang w:val="ka-GE"/>
        </w:rPr>
        <w:t xml:space="preserve">18 წლამდე ასაკის ონკოლოგიური დიაგნოზის მქონე პაციენტებისთვის </w:t>
      </w:r>
      <w:r>
        <w:rPr>
          <w:rFonts w:ascii="Sylfaen" w:hAnsi="Sylfaen" w:cs="Sylfaen"/>
          <w:bCs/>
          <w:noProof/>
          <w:sz w:val="22"/>
          <w:szCs w:val="22"/>
          <w:lang w:val="ka-GE"/>
        </w:rPr>
        <w:t xml:space="preserve">(300-მდე პაციენტი) </w:t>
      </w:r>
      <w:r w:rsidRPr="005C64F7">
        <w:rPr>
          <w:rFonts w:ascii="Sylfaen" w:hAnsi="Sylfaen" w:cs="Sylfaen"/>
          <w:bCs/>
          <w:noProof/>
          <w:sz w:val="22"/>
          <w:szCs w:val="22"/>
          <w:lang w:val="ka-GE"/>
        </w:rPr>
        <w:t>მკურნალობის დაფინანსება</w:t>
      </w:r>
      <w:r>
        <w:rPr>
          <w:rFonts w:ascii="Sylfaen" w:hAnsi="Sylfaen" w:cs="Sylfaen"/>
          <w:bCs/>
          <w:noProof/>
          <w:sz w:val="22"/>
          <w:szCs w:val="22"/>
          <w:lang w:val="ka-GE"/>
        </w:rPr>
        <w:t xml:space="preserve">ს უცხოეთის წამყვან კლინიკებში, </w:t>
      </w:r>
      <w:r w:rsidRPr="005C64F7">
        <w:rPr>
          <w:rFonts w:ascii="Sylfaen" w:hAnsi="Sylfaen" w:cs="Sylfaen"/>
          <w:bCs/>
          <w:noProof/>
          <w:sz w:val="22"/>
          <w:szCs w:val="22"/>
          <w:lang w:val="ka-GE"/>
        </w:rPr>
        <w:t>ქვეყნის ფარგლებში უახლესი სტანდარტების მქონე პედიატრიული ონკოლოგიის ცენტრის შექმნამდე.</w:t>
      </w:r>
    </w:p>
    <w:p w:rsidR="0041266C" w:rsidRDefault="0094642B" w:rsidP="00625504">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00A76637">
        <w:rPr>
          <w:rFonts w:ascii="Sylfaen" w:hAnsi="Sylfaen" w:cs="Sylfaen"/>
          <w:bCs/>
          <w:noProof/>
          <w:sz w:val="22"/>
          <w:szCs w:val="22"/>
          <w:lang w:val="ka-GE"/>
        </w:rPr>
        <w:t>2023 წლის პროგნოზების განახლებიდან გამომდინარე,  მიმდინარე ხარჯები ასევე გაზრდილია</w:t>
      </w:r>
      <w:r w:rsidR="0041266C">
        <w:rPr>
          <w:rFonts w:ascii="Sylfaen" w:hAnsi="Sylfaen" w:cs="Sylfaen"/>
          <w:bCs/>
          <w:noProof/>
          <w:sz w:val="22"/>
          <w:szCs w:val="22"/>
          <w:lang w:val="ka-GE"/>
        </w:rPr>
        <w:t xml:space="preserve"> 2024 წელს და შეადგენს მშპ-ის 23,1%-ს, ხოლო</w:t>
      </w:r>
      <w:r w:rsidR="007E59A3" w:rsidRPr="0094642B">
        <w:rPr>
          <w:rFonts w:ascii="Sylfaen" w:hAnsi="Sylfaen" w:cs="Sylfaen"/>
          <w:bCs/>
          <w:noProof/>
          <w:sz w:val="22"/>
          <w:szCs w:val="22"/>
          <w:lang w:val="ka-GE"/>
        </w:rPr>
        <w:t xml:space="preserve"> </w:t>
      </w:r>
      <w:r w:rsidR="00A76637">
        <w:rPr>
          <w:rFonts w:ascii="Sylfaen" w:hAnsi="Sylfaen" w:cs="Sylfaen"/>
          <w:bCs/>
          <w:noProof/>
          <w:sz w:val="22"/>
          <w:szCs w:val="22"/>
          <w:lang w:val="ka-GE"/>
        </w:rPr>
        <w:t xml:space="preserve">საშუალოვადიანი </w:t>
      </w:r>
      <w:r w:rsidR="0041266C">
        <w:rPr>
          <w:rFonts w:ascii="Sylfaen" w:hAnsi="Sylfaen" w:cs="Sylfaen"/>
          <w:bCs/>
          <w:noProof/>
          <w:sz w:val="22"/>
          <w:szCs w:val="22"/>
          <w:lang w:val="ka-GE"/>
        </w:rPr>
        <w:t>პერიოდში</w:t>
      </w:r>
      <w:r w:rsidR="00A76637">
        <w:rPr>
          <w:rFonts w:ascii="Sylfaen" w:hAnsi="Sylfaen" w:cs="Sylfaen"/>
          <w:bCs/>
          <w:noProof/>
          <w:sz w:val="22"/>
          <w:szCs w:val="22"/>
          <w:lang w:val="ka-GE"/>
        </w:rPr>
        <w:t xml:space="preserve"> მშპ-სთან მიმართებაში 22,8%-</w:t>
      </w:r>
      <w:r w:rsidR="0041266C">
        <w:rPr>
          <w:rFonts w:ascii="Sylfaen" w:hAnsi="Sylfaen" w:cs="Sylfaen"/>
          <w:bCs/>
          <w:noProof/>
          <w:sz w:val="22"/>
          <w:szCs w:val="22"/>
          <w:lang w:val="ka-GE"/>
        </w:rPr>
        <w:t>ი</w:t>
      </w:r>
      <w:r w:rsidR="00A76637">
        <w:rPr>
          <w:rFonts w:ascii="Sylfaen" w:hAnsi="Sylfaen" w:cs="Sylfaen"/>
          <w:bCs/>
          <w:noProof/>
          <w:sz w:val="22"/>
          <w:szCs w:val="22"/>
          <w:lang w:val="ka-GE"/>
        </w:rPr>
        <w:t>ს</w:t>
      </w:r>
      <w:r w:rsidR="0041266C">
        <w:rPr>
          <w:rFonts w:ascii="Sylfaen" w:hAnsi="Sylfaen" w:cs="Sylfaen"/>
          <w:bCs/>
          <w:noProof/>
          <w:sz w:val="22"/>
          <w:szCs w:val="22"/>
          <w:lang w:val="ka-GE"/>
        </w:rPr>
        <w:t xml:space="preserve"> ფარგლებშია</w:t>
      </w:r>
      <w:r w:rsidR="00A76637">
        <w:rPr>
          <w:rFonts w:ascii="Sylfaen" w:hAnsi="Sylfaen" w:cs="Sylfaen"/>
          <w:bCs/>
          <w:noProof/>
          <w:sz w:val="22"/>
          <w:szCs w:val="22"/>
          <w:lang w:val="ka-GE"/>
        </w:rPr>
        <w:t xml:space="preserve">. </w:t>
      </w:r>
    </w:p>
    <w:p w:rsidR="007E59A3" w:rsidRPr="0094642B" w:rsidRDefault="0041266C" w:rsidP="00625504">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00A76637">
        <w:rPr>
          <w:rFonts w:ascii="Sylfaen" w:hAnsi="Sylfaen" w:cs="Sylfaen"/>
          <w:bCs/>
          <w:noProof/>
          <w:sz w:val="22"/>
          <w:szCs w:val="22"/>
          <w:lang w:val="ka-GE"/>
        </w:rPr>
        <w:t xml:space="preserve">ამასთან, მოსალოდნელია, რომ მიმდინარე და მომდევნო წლების პროგნოზები გადაიხედება 2023 წლის სახელმწიფო ბიუჯეტის კანონის გადამუშავების და 2024 წლის სახელმწიფო ბიუჯეტის პროექტის მომზადების პროცესში. </w:t>
      </w:r>
    </w:p>
    <w:p w:rsidR="007E59A3" w:rsidRPr="003C171E" w:rsidRDefault="007E59A3" w:rsidP="007716A2">
      <w:pPr>
        <w:tabs>
          <w:tab w:val="left" w:pos="90"/>
        </w:tabs>
        <w:spacing w:after="0" w:line="276" w:lineRule="auto"/>
        <w:ind w:firstLine="720"/>
        <w:jc w:val="both"/>
        <w:rPr>
          <w:rFonts w:ascii="Sylfaen" w:hAnsi="Sylfaen" w:cs="Sylfaen"/>
          <w:lang w:val="ka-GE"/>
        </w:rPr>
      </w:pPr>
      <w:r w:rsidRPr="003C171E">
        <w:rPr>
          <w:rFonts w:ascii="Sylfaen" w:hAnsi="Sylfaen" w:cs="Sylfaen"/>
          <w:bCs/>
          <w:noProof/>
          <w:lang w:val="ka-GE"/>
        </w:rPr>
        <w:t xml:space="preserve">პანდემიის მიუხედავად, 2020-2021 წლებში მნიშვნელოვნად არ შემცირებულა კაპიტალური პროექტების დაფინანსების მოცულობა და მშპ-სთან მიმართებაში 2020 წელს 9,0%, ხოლო 2021 წელს 8% შეადგინა. 2022 წელს კაპიტალური </w:t>
      </w:r>
      <w:r w:rsidR="00A76637">
        <w:rPr>
          <w:rFonts w:ascii="Sylfaen" w:hAnsi="Sylfaen" w:cs="Sylfaen"/>
          <w:bCs/>
          <w:noProof/>
          <w:lang w:val="ka-GE"/>
        </w:rPr>
        <w:t>ხარჯების მოცულობამ შეადგინა 6,0 მლრდ ლარამდე</w:t>
      </w:r>
      <w:r w:rsidRPr="003C171E">
        <w:rPr>
          <w:rFonts w:ascii="Sylfaen" w:hAnsi="Sylfaen" w:cs="Sylfaen"/>
          <w:bCs/>
          <w:noProof/>
          <w:lang w:val="ka-GE"/>
        </w:rPr>
        <w:t>, რაც მშპ-ს</w:t>
      </w:r>
      <w:r w:rsidR="00A76637">
        <w:rPr>
          <w:rFonts w:ascii="Sylfaen" w:hAnsi="Sylfaen" w:cs="Sylfaen"/>
          <w:bCs/>
          <w:noProof/>
          <w:lang w:val="ka-GE"/>
        </w:rPr>
        <w:t xml:space="preserve"> 8,2</w:t>
      </w:r>
      <w:r w:rsidRPr="003C171E">
        <w:rPr>
          <w:rFonts w:ascii="Sylfaen" w:hAnsi="Sylfaen" w:cs="Sylfaen"/>
          <w:bCs/>
          <w:noProof/>
          <w:lang w:val="ka-GE"/>
        </w:rPr>
        <w:t>%-</w:t>
      </w:r>
      <w:r w:rsidR="00A76637">
        <w:rPr>
          <w:rFonts w:ascii="Sylfaen" w:hAnsi="Sylfaen" w:cs="Sylfaen"/>
          <w:bCs/>
          <w:noProof/>
          <w:lang w:val="ka-GE"/>
        </w:rPr>
        <w:t>ია</w:t>
      </w:r>
      <w:r w:rsidRPr="003C171E">
        <w:rPr>
          <w:rFonts w:ascii="Sylfaen" w:hAnsi="Sylfaen" w:cs="Sylfaen"/>
          <w:bCs/>
          <w:noProof/>
          <w:lang w:val="ka-GE"/>
        </w:rPr>
        <w:t xml:space="preserve">. 2023 წელს კაპიტალური ხარჯების </w:t>
      </w:r>
      <w:r w:rsidR="00A76637">
        <w:rPr>
          <w:rFonts w:ascii="Sylfaen" w:hAnsi="Sylfaen" w:cs="Sylfaen"/>
          <w:bCs/>
          <w:noProof/>
          <w:lang w:val="ka-GE"/>
        </w:rPr>
        <w:t xml:space="preserve">მოსალოდნელი ოდენობა მცირედით გაზრდილია დაგეგმილ მაჩვენებელთან შედარებით და </w:t>
      </w:r>
      <w:r w:rsidRPr="003C171E">
        <w:rPr>
          <w:rFonts w:ascii="Sylfaen" w:hAnsi="Sylfaen" w:cs="Sylfaen"/>
          <w:bCs/>
          <w:noProof/>
          <w:lang w:val="ka-GE"/>
        </w:rPr>
        <w:t>განისაზღვრება ასევე 6,</w:t>
      </w:r>
      <w:r w:rsidR="00A76637">
        <w:rPr>
          <w:rFonts w:ascii="Sylfaen" w:hAnsi="Sylfaen" w:cs="Sylfaen"/>
          <w:bCs/>
          <w:noProof/>
          <w:lang w:val="ka-GE"/>
        </w:rPr>
        <w:t>2</w:t>
      </w:r>
      <w:r w:rsidRPr="003C171E">
        <w:rPr>
          <w:rFonts w:ascii="Sylfaen" w:hAnsi="Sylfaen" w:cs="Sylfaen"/>
          <w:bCs/>
          <w:noProof/>
          <w:lang w:val="ka-GE"/>
        </w:rPr>
        <w:t xml:space="preserve"> მლრდ ლარის</w:t>
      </w:r>
      <w:r w:rsidR="00A76637">
        <w:rPr>
          <w:rFonts w:ascii="Sylfaen" w:hAnsi="Sylfaen" w:cs="Sylfaen"/>
          <w:bCs/>
          <w:noProof/>
          <w:lang w:val="ka-GE"/>
        </w:rPr>
        <w:t xml:space="preserve"> ფარგლებში</w:t>
      </w:r>
      <w:r w:rsidRPr="003C171E">
        <w:rPr>
          <w:rFonts w:ascii="Sylfaen" w:hAnsi="Sylfaen" w:cs="Sylfaen"/>
          <w:bCs/>
          <w:noProof/>
          <w:lang w:val="ka-GE"/>
        </w:rPr>
        <w:t xml:space="preserve">, რაც მშპ-ს </w:t>
      </w:r>
      <w:r w:rsidR="006B2766">
        <w:rPr>
          <w:rFonts w:ascii="Sylfaen" w:hAnsi="Sylfaen" w:cs="Sylfaen"/>
          <w:bCs/>
          <w:noProof/>
          <w:lang w:val="ka-GE"/>
        </w:rPr>
        <w:t>7,9</w:t>
      </w:r>
      <w:r w:rsidRPr="003C171E">
        <w:rPr>
          <w:rFonts w:ascii="Sylfaen" w:hAnsi="Sylfaen" w:cs="Sylfaen"/>
          <w:bCs/>
          <w:noProof/>
          <w:lang w:val="ka-GE"/>
        </w:rPr>
        <w:t>%-</w:t>
      </w:r>
      <w:r w:rsidR="006B2766">
        <w:rPr>
          <w:rFonts w:ascii="Sylfaen" w:hAnsi="Sylfaen" w:cs="Sylfaen"/>
          <w:bCs/>
          <w:noProof/>
          <w:lang w:val="ka-GE"/>
        </w:rPr>
        <w:t>ი</w:t>
      </w:r>
      <w:r w:rsidR="00A76637">
        <w:rPr>
          <w:rFonts w:ascii="Sylfaen" w:hAnsi="Sylfaen" w:cs="Sylfaen"/>
          <w:bCs/>
          <w:noProof/>
          <w:lang w:val="ka-GE"/>
        </w:rPr>
        <w:t>ა</w:t>
      </w:r>
      <w:r w:rsidRPr="003C171E">
        <w:rPr>
          <w:rFonts w:ascii="Sylfaen" w:hAnsi="Sylfaen" w:cs="Sylfaen"/>
          <w:bCs/>
          <w:noProof/>
          <w:lang w:val="ka-GE"/>
        </w:rPr>
        <w:t>. მომდევნო წლებში, ფისკალური კონსოლიდაციის პარალელურად</w:t>
      </w:r>
      <w:r w:rsidR="006B2766">
        <w:rPr>
          <w:rFonts w:ascii="Sylfaen" w:hAnsi="Sylfaen" w:cs="Sylfaen"/>
          <w:bCs/>
          <w:noProof/>
          <w:lang w:val="ka-GE"/>
        </w:rPr>
        <w:t>, არაფინანსური და ფინანსური აქტივების ზრდა ჯამში</w:t>
      </w:r>
      <w:r w:rsidRPr="003C171E">
        <w:rPr>
          <w:rFonts w:ascii="Sylfaen" w:hAnsi="Sylfaen" w:cs="Sylfaen"/>
          <w:bCs/>
          <w:noProof/>
          <w:lang w:val="ka-GE"/>
        </w:rPr>
        <w:t xml:space="preserve"> მშპ-სთან მიმართებაში მცირდება და</w:t>
      </w:r>
      <w:r w:rsidR="006B2766">
        <w:rPr>
          <w:rFonts w:ascii="Sylfaen" w:hAnsi="Sylfaen" w:cs="Sylfaen"/>
          <w:bCs/>
          <w:noProof/>
          <w:lang w:val="ka-GE"/>
        </w:rPr>
        <w:t xml:space="preserve"> 6</w:t>
      </w:r>
      <w:r w:rsidRPr="003C171E">
        <w:rPr>
          <w:rFonts w:ascii="Sylfaen" w:hAnsi="Sylfaen" w:cs="Sylfaen"/>
          <w:bCs/>
          <w:noProof/>
          <w:lang w:val="ka-GE"/>
        </w:rPr>
        <w:t>,</w:t>
      </w:r>
      <w:r w:rsidR="006B2766">
        <w:rPr>
          <w:rFonts w:ascii="Sylfaen" w:hAnsi="Sylfaen" w:cs="Sylfaen"/>
          <w:bCs/>
          <w:noProof/>
          <w:lang w:val="ka-GE"/>
        </w:rPr>
        <w:t>6</w:t>
      </w:r>
      <w:r w:rsidRPr="003C171E">
        <w:rPr>
          <w:rFonts w:ascii="Sylfaen" w:hAnsi="Sylfaen" w:cs="Sylfaen"/>
          <w:bCs/>
          <w:noProof/>
          <w:lang w:val="ka-GE"/>
        </w:rPr>
        <w:t>%-ის ფარგლებშია შენარჩუნებული.</w:t>
      </w:r>
    </w:p>
    <w:p w:rsidR="00F162FD" w:rsidRDefault="00044987" w:rsidP="00685A5A">
      <w:pPr>
        <w:spacing w:after="0" w:line="276" w:lineRule="auto"/>
        <w:ind w:firstLine="720"/>
        <w:jc w:val="both"/>
        <w:rPr>
          <w:rFonts w:ascii="Sylfaen" w:hAnsi="Sylfaen" w:cs="Sylfaen"/>
          <w:lang w:val="ka-GE"/>
        </w:rPr>
      </w:pPr>
      <w:r w:rsidRPr="006B2766">
        <w:rPr>
          <w:rFonts w:ascii="Sylfaen" w:hAnsi="Sylfaen" w:cs="Sylfaen"/>
          <w:lang w:val="ka-GE"/>
        </w:rPr>
        <w:t>ქვემოთ მოცემულ ცხრილში</w:t>
      </w:r>
      <w:r w:rsidR="00334A00" w:rsidRPr="006B2766">
        <w:rPr>
          <w:rFonts w:ascii="Sylfaen" w:hAnsi="Sylfaen" w:cs="Sylfaen"/>
          <w:lang w:val="ka-GE"/>
        </w:rPr>
        <w:t xml:space="preserve"> (ცხრილი </w:t>
      </w:r>
      <w:r w:rsidR="00291443" w:rsidRPr="006B2766">
        <w:rPr>
          <w:rFonts w:ascii="Sylfaen" w:hAnsi="Sylfaen" w:cs="Sylfaen"/>
          <w:bCs/>
          <w:noProof/>
          <w:sz w:val="20"/>
          <w:lang w:val="ka-GE"/>
        </w:rPr>
        <w:t>№8</w:t>
      </w:r>
      <w:r w:rsidR="00334A00" w:rsidRPr="006B2766">
        <w:rPr>
          <w:rFonts w:ascii="Sylfaen" w:hAnsi="Sylfaen" w:cs="Sylfaen"/>
          <w:bCs/>
          <w:noProof/>
          <w:sz w:val="20"/>
          <w:lang w:val="ka-GE"/>
        </w:rPr>
        <w:t>)</w:t>
      </w:r>
      <w:r w:rsidRPr="006B2766">
        <w:rPr>
          <w:rFonts w:ascii="Sylfaen" w:hAnsi="Sylfaen" w:cs="Sylfaen"/>
          <w:lang w:val="ka-GE"/>
        </w:rPr>
        <w:t xml:space="preserve"> წარმოდგენილია მიმდინარე და კაპიტალური ხარჯების პროგნოზები</w:t>
      </w:r>
      <w:r w:rsidR="006B2766">
        <w:rPr>
          <w:rFonts w:ascii="Sylfaen" w:hAnsi="Sylfaen" w:cs="Sylfaen"/>
          <w:lang w:val="ka-GE"/>
        </w:rPr>
        <w:t xml:space="preserve"> 2021</w:t>
      </w:r>
      <w:r w:rsidRPr="006B2766">
        <w:rPr>
          <w:rFonts w:ascii="Sylfaen" w:hAnsi="Sylfaen" w:cs="Sylfaen"/>
          <w:lang w:val="ka-GE"/>
        </w:rPr>
        <w:t>-202</w:t>
      </w:r>
      <w:r w:rsidR="006B2766">
        <w:rPr>
          <w:rFonts w:ascii="Sylfaen" w:hAnsi="Sylfaen" w:cs="Sylfaen"/>
          <w:lang w:val="ka-GE"/>
        </w:rPr>
        <w:t>7</w:t>
      </w:r>
      <w:r w:rsidRPr="006B2766">
        <w:rPr>
          <w:rFonts w:ascii="Sylfaen" w:hAnsi="Sylfaen" w:cs="Sylfaen"/>
          <w:lang w:val="ka-GE"/>
        </w:rPr>
        <w:t xml:space="preserve"> წლებისთვის:</w:t>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№8</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9653F7" w:rsidRDefault="00AD738A" w:rsidP="008C666C">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25"/>
        <w:gridCol w:w="900"/>
        <w:gridCol w:w="1002"/>
        <w:gridCol w:w="1002"/>
        <w:gridCol w:w="1002"/>
        <w:gridCol w:w="1002"/>
        <w:gridCol w:w="1002"/>
        <w:gridCol w:w="1002"/>
      </w:tblGrid>
      <w:tr w:rsidR="00625504" w:rsidRPr="00625504" w:rsidTr="00625504">
        <w:trPr>
          <w:trHeight w:val="113"/>
          <w:tblHeader/>
        </w:trPr>
        <w:tc>
          <w:tcPr>
            <w:tcW w:w="1694" w:type="pct"/>
            <w:vMerge w:val="restart"/>
            <w:shd w:val="clear" w:color="auto" w:fill="auto"/>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20"/>
              </w:rPr>
            </w:pPr>
            <w:r w:rsidRPr="00625504">
              <w:rPr>
                <w:rFonts w:ascii="Sylfaen" w:eastAsia="Times New Roman" w:hAnsi="Sylfaen" w:cs="Sylfaen"/>
                <w:b/>
                <w:bCs/>
                <w:sz w:val="16"/>
                <w:szCs w:val="20"/>
              </w:rPr>
              <w:t>დასახელება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2025</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Arial" w:eastAsia="Times New Roman" w:hAnsi="Arial" w:cs="Arial"/>
                <w:b/>
                <w:bCs/>
                <w:sz w:val="16"/>
                <w:szCs w:val="18"/>
              </w:rPr>
              <w:t>2027</w:t>
            </w:r>
          </w:p>
        </w:tc>
      </w:tr>
      <w:tr w:rsidR="00625504" w:rsidRPr="00625504" w:rsidTr="00625504">
        <w:trPr>
          <w:trHeight w:val="113"/>
          <w:tblHeader/>
        </w:trPr>
        <w:tc>
          <w:tcPr>
            <w:tcW w:w="1694" w:type="pct"/>
            <w:vMerge/>
            <w:vAlign w:val="center"/>
            <w:hideMark/>
          </w:tcPr>
          <w:p w:rsidR="00625504" w:rsidRPr="00625504" w:rsidRDefault="00625504" w:rsidP="00625504">
            <w:pPr>
              <w:spacing w:after="0" w:line="240" w:lineRule="auto"/>
              <w:outlineLvl w:val="0"/>
              <w:rPr>
                <w:rFonts w:ascii="Arial" w:eastAsia="Times New Roman" w:hAnsi="Arial" w:cs="Arial"/>
                <w:b/>
                <w:bCs/>
                <w:sz w:val="16"/>
                <w:szCs w:val="20"/>
              </w:rPr>
            </w:pP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ფაქტი</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Sylfaen" w:eastAsia="Times New Roman" w:hAnsi="Sylfaen" w:cs="Arial"/>
                <w:b/>
                <w:bCs/>
                <w:sz w:val="16"/>
                <w:szCs w:val="18"/>
              </w:rPr>
            </w:pPr>
            <w:r w:rsidRPr="00625504">
              <w:rPr>
                <w:rFonts w:ascii="Sylfaen" w:eastAsia="Times New Roman" w:hAnsi="Sylfaen" w:cs="Arial"/>
                <w:b/>
                <w:bCs/>
                <w:sz w:val="16"/>
                <w:szCs w:val="18"/>
              </w:rPr>
              <w:t>პროგნოზი</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18"/>
              </w:rPr>
            </w:pPr>
            <w:r w:rsidRPr="00625504">
              <w:rPr>
                <w:rFonts w:ascii="Sylfaen" w:eastAsia="Times New Roman" w:hAnsi="Sylfaen" w:cs="Sylfaen"/>
                <w:b/>
                <w:bCs/>
                <w:sz w:val="16"/>
                <w:szCs w:val="18"/>
              </w:rPr>
              <w:t>პროგნოზი</w:t>
            </w:r>
          </w:p>
        </w:tc>
      </w:tr>
      <w:tr w:rsidR="00625504" w:rsidRPr="00625504" w:rsidTr="00625504">
        <w:trPr>
          <w:trHeight w:val="113"/>
        </w:trPr>
        <w:tc>
          <w:tcPr>
            <w:tcW w:w="1694" w:type="pct"/>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20"/>
              </w:rPr>
            </w:pPr>
            <w:r w:rsidRPr="00625504">
              <w:rPr>
                <w:rFonts w:ascii="Sylfaen" w:eastAsia="Times New Roman" w:hAnsi="Sylfaen" w:cs="Arial"/>
                <w:b/>
                <w:bCs/>
                <w:sz w:val="16"/>
                <w:szCs w:val="20"/>
              </w:rPr>
              <w:t>ხარჯები</w:t>
            </w:r>
          </w:p>
        </w:tc>
        <w:tc>
          <w:tcPr>
            <w:tcW w:w="2361" w:type="pct"/>
            <w:gridSpan w:val="5"/>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13 407,0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13 518,0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14 434,0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15 243,0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14 688,0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14 753,0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15 768,0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16 887,0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18 071,0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1 281,0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1 235,0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1 334,0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1 644,0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18 071,0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14 767,2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15 743,0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17 416,0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18 364,0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19 832,0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21 357,0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14 767,2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15 610,9</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17 653,0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19 525,0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20 990,0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22 514,0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24 221,0</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-132,1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237,0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1 161,0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1 158,0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1 157,0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20"/>
              </w:rPr>
            </w:pPr>
            <w:r w:rsidRPr="00625504">
              <w:rPr>
                <w:rFonts w:ascii="Sylfaen" w:eastAsia="Times New Roman" w:hAnsi="Sylfaen" w:cs="Arial"/>
                <w:b/>
                <w:bCs/>
                <w:sz w:val="16"/>
                <w:szCs w:val="20"/>
              </w:rPr>
              <w:lastRenderedPageBreak/>
              <w:t>კაპიტალური</w:t>
            </w:r>
            <w:r w:rsidRPr="00625504">
              <w:rPr>
                <w:rFonts w:ascii="Arial" w:eastAsia="Times New Roman" w:hAnsi="Arial" w:cs="Arial"/>
                <w:b/>
                <w:bCs/>
                <w:sz w:val="16"/>
                <w:szCs w:val="20"/>
              </w:rPr>
              <w:t xml:space="preserve"> </w:t>
            </w:r>
            <w:r w:rsidRPr="00625504">
              <w:rPr>
                <w:rFonts w:ascii="Sylfaen" w:eastAsia="Times New Roman" w:hAnsi="Sylfaen" w:cs="Arial"/>
                <w:b/>
                <w:bCs/>
                <w:sz w:val="16"/>
                <w:szCs w:val="20"/>
              </w:rPr>
              <w:t>ხარჯები</w:t>
            </w:r>
          </w:p>
        </w:tc>
        <w:tc>
          <w:tcPr>
            <w:tcW w:w="2361" w:type="pct"/>
            <w:gridSpan w:val="5"/>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000000" w:fill="FFF2CC"/>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არაფინანსური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ზრდა</w:t>
            </w:r>
          </w:p>
        </w:tc>
        <w:tc>
          <w:tcPr>
            <w:tcW w:w="2361" w:type="pct"/>
            <w:gridSpan w:val="5"/>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4 236,0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4 100,0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3 960,0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4 480,0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4 688,0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5 679,0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4 669,0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5 024,0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5 374,0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sz w:val="16"/>
                <w:szCs w:val="18"/>
              </w:rPr>
            </w:pPr>
            <w:r w:rsidRPr="00625504">
              <w:rPr>
                <w:rFonts w:ascii="Sylfaen" w:eastAsia="Times New Roman" w:hAnsi="Sylfaen" w:cs="Arial"/>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452,0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1 579,0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709,0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544,0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4 591,0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5 935,0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6 120,0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5 910,0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6 310,0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6 690,0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4 591,0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5 968,2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6 200,0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5 600,0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5 800,0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6 200,0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6 700,0</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33,2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80,0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-310,0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-510,0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-490,0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shd w:val="clear" w:color="000000" w:fill="FFF2CC"/>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ზრდა</w:t>
            </w:r>
          </w:p>
        </w:tc>
        <w:tc>
          <w:tcPr>
            <w:tcW w:w="2361" w:type="pct"/>
            <w:gridSpan w:val="5"/>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241,0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155,0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205,0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sz w:val="16"/>
                <w:szCs w:val="18"/>
              </w:rPr>
            </w:pPr>
            <w:r w:rsidRPr="00625504">
              <w:rPr>
                <w:rFonts w:ascii="Sylfaen" w:eastAsia="Times New Roman" w:hAnsi="Sylfaen" w:cs="Arial"/>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-86,0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-45,0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c>
          <w:tcPr>
            <w:tcW w:w="472" w:type="pct"/>
            <w:shd w:val="clear" w:color="000000" w:fill="DDEBF7"/>
            <w:noWrap/>
            <w:vAlign w:val="center"/>
            <w:hideMark/>
          </w:tcPr>
          <w:p w:rsidR="00625504" w:rsidRPr="00625504" w:rsidRDefault="00625504" w:rsidP="00625504">
            <w:pPr>
              <w:spacing w:after="0" w:line="240" w:lineRule="auto"/>
              <w:outlineLvl w:val="0"/>
              <w:rPr>
                <w:rFonts w:ascii="Calibri" w:eastAsia="Times New Roman" w:hAnsi="Calibri" w:cs="Calibri"/>
                <w:sz w:val="16"/>
              </w:rPr>
            </w:pPr>
            <w:r w:rsidRPr="00625504">
              <w:rPr>
                <w:rFonts w:ascii="Calibri" w:eastAsia="Times New Roman" w:hAnsi="Calibri" w:cs="Calibri"/>
                <w:sz w:val="16"/>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390,0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320,0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443,5</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320,0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250,0</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53,5</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4528" w:type="pct"/>
            <w:gridSpan w:val="7"/>
            <w:shd w:val="clear" w:color="auto" w:fill="auto"/>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20"/>
              </w:rPr>
            </w:pPr>
            <w:r w:rsidRPr="00625504">
              <w:rPr>
                <w:rFonts w:ascii="Arial" w:eastAsia="Times New Roman" w:hAnsi="Arial" w:cs="Arial"/>
                <w:b/>
                <w:bCs/>
                <w:sz w:val="16"/>
                <w:szCs w:val="20"/>
              </w:rPr>
              <w:t xml:space="preserve">% </w:t>
            </w:r>
            <w:r w:rsidRPr="00625504">
              <w:rPr>
                <w:rFonts w:ascii="Sylfaen" w:eastAsia="Times New Roman" w:hAnsi="Sylfaen" w:cs="Arial"/>
                <w:b/>
                <w:bCs/>
                <w:sz w:val="16"/>
                <w:szCs w:val="20"/>
              </w:rPr>
              <w:t>მშპ</w:t>
            </w:r>
            <w:r w:rsidRPr="00625504">
              <w:rPr>
                <w:rFonts w:ascii="Arial" w:eastAsia="Times New Roman" w:hAnsi="Arial" w:cs="Arial"/>
                <w:b/>
                <w:bCs/>
                <w:sz w:val="16"/>
                <w:szCs w:val="20"/>
              </w:rPr>
              <w:t>-</w:t>
            </w:r>
            <w:r w:rsidRPr="00625504">
              <w:rPr>
                <w:rFonts w:ascii="Sylfaen" w:eastAsia="Times New Roman" w:hAnsi="Sylfaen" w:cs="Arial"/>
                <w:b/>
                <w:bCs/>
                <w:sz w:val="16"/>
                <w:szCs w:val="20"/>
              </w:rPr>
              <w:t>თან</w:t>
            </w:r>
          </w:p>
        </w:tc>
        <w:tc>
          <w:tcPr>
            <w:tcW w:w="472" w:type="pct"/>
            <w:shd w:val="clear" w:color="auto" w:fill="auto"/>
            <w:vAlign w:val="center"/>
            <w:hideMark/>
          </w:tcPr>
          <w:p w:rsidR="00625504" w:rsidRPr="00625504" w:rsidRDefault="00625504" w:rsidP="00625504">
            <w:pPr>
              <w:spacing w:after="0" w:line="240" w:lineRule="auto"/>
              <w:jc w:val="center"/>
              <w:outlineLvl w:val="0"/>
              <w:rPr>
                <w:rFonts w:ascii="Arial" w:eastAsia="Times New Roman" w:hAnsi="Arial" w:cs="Arial"/>
                <w:b/>
                <w:bCs/>
                <w:sz w:val="16"/>
                <w:szCs w:val="20"/>
              </w:rPr>
            </w:pPr>
          </w:p>
        </w:tc>
      </w:tr>
      <w:tr w:rsidR="00625504" w:rsidRPr="00625504" w:rsidTr="00625504">
        <w:trPr>
          <w:trHeight w:val="113"/>
        </w:trPr>
        <w:tc>
          <w:tcPr>
            <w:tcW w:w="1694" w:type="pct"/>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20"/>
              </w:rPr>
            </w:pPr>
            <w:r w:rsidRPr="00625504">
              <w:rPr>
                <w:rFonts w:ascii="Sylfaen" w:eastAsia="Times New Roman" w:hAnsi="Sylfaen" w:cs="Arial"/>
                <w:b/>
                <w:bCs/>
                <w:sz w:val="16"/>
                <w:szCs w:val="20"/>
              </w:rPr>
              <w:t>ხარჯები</w:t>
            </w:r>
          </w:p>
        </w:tc>
        <w:tc>
          <w:tcPr>
            <w:tcW w:w="2361" w:type="pct"/>
            <w:gridSpan w:val="5"/>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23,2%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22,8%</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22,2%</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25,1%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22,8%</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21,8%</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sz w:val="16"/>
                <w:szCs w:val="18"/>
              </w:rPr>
            </w:pPr>
            <w:r w:rsidRPr="00625504">
              <w:rPr>
                <w:rFonts w:ascii="Sylfaen" w:eastAsia="Times New Roman" w:hAnsi="Sylfaen" w:cs="Arial"/>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-0,5%</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24,6%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21,8%</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21,9%</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21,1%</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24,6%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21,8%</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23,1%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22,9%</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22,6%</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i/>
                <w:iCs/>
                <w:sz w:val="16"/>
                <w:szCs w:val="18"/>
              </w:rPr>
            </w:pPr>
            <w:r w:rsidRPr="00625504">
              <w:rPr>
                <w:rFonts w:ascii="Sylfaen" w:eastAsia="Times New Roman" w:hAnsi="Sylfaen" w:cs="Arial"/>
                <w:i/>
                <w:iCs/>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1,8%</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1,6%</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000000" w:fill="DDEBF7"/>
            <w:vAlign w:val="center"/>
            <w:hideMark/>
          </w:tcPr>
          <w:p w:rsidR="00625504" w:rsidRPr="00625504" w:rsidRDefault="00625504" w:rsidP="00625504">
            <w:pPr>
              <w:spacing w:after="0" w:line="240" w:lineRule="auto"/>
              <w:outlineLvl w:val="0"/>
              <w:rPr>
                <w:rFonts w:ascii="Sylfaen" w:eastAsia="Times New Roman" w:hAnsi="Sylfaen" w:cs="Arial"/>
                <w:b/>
                <w:bCs/>
                <w:sz w:val="16"/>
                <w:szCs w:val="20"/>
              </w:rPr>
            </w:pPr>
            <w:r w:rsidRPr="00625504">
              <w:rPr>
                <w:rFonts w:ascii="Sylfaen" w:eastAsia="Times New Roman" w:hAnsi="Sylfaen" w:cs="Arial"/>
                <w:b/>
                <w:bCs/>
                <w:sz w:val="16"/>
                <w:szCs w:val="20"/>
              </w:rPr>
              <w:t>კაპიტალური</w:t>
            </w:r>
            <w:r w:rsidRPr="00625504">
              <w:rPr>
                <w:rFonts w:ascii="Arial" w:eastAsia="Times New Roman" w:hAnsi="Arial" w:cs="Arial"/>
                <w:b/>
                <w:bCs/>
                <w:sz w:val="16"/>
                <w:szCs w:val="20"/>
              </w:rPr>
              <w:t xml:space="preserve"> </w:t>
            </w:r>
            <w:r w:rsidRPr="00625504">
              <w:rPr>
                <w:rFonts w:ascii="Sylfaen" w:eastAsia="Times New Roman" w:hAnsi="Sylfaen" w:cs="Arial"/>
                <w:b/>
                <w:bCs/>
                <w:sz w:val="16"/>
                <w:szCs w:val="20"/>
              </w:rPr>
              <w:t>ხარჯები</w:t>
            </w:r>
          </w:p>
        </w:tc>
        <w:tc>
          <w:tcPr>
            <w:tcW w:w="2361" w:type="pct"/>
            <w:gridSpan w:val="5"/>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000000" w:fill="FFF2CC"/>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არაფინანსური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ზრდა</w:t>
            </w:r>
          </w:p>
        </w:tc>
        <w:tc>
          <w:tcPr>
            <w:tcW w:w="2361" w:type="pct"/>
            <w:gridSpan w:val="5"/>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7,9%</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7,0%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6,5%</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8,0%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8,8%</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6,5%</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sz w:val="16"/>
                <w:szCs w:val="18"/>
              </w:rPr>
            </w:pPr>
            <w:r w:rsidRPr="00625504">
              <w:rPr>
                <w:rFonts w:ascii="Sylfaen" w:eastAsia="Times New Roman" w:hAnsi="Sylfaen" w:cs="Arial"/>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1,7%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7,7%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8,2%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7,7%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6,8%</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6,6%</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7,7%</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8,3%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7,9%</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6,3%</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sz w:val="16"/>
                <w:szCs w:val="18"/>
              </w:rPr>
            </w:pPr>
            <w:r w:rsidRPr="00625504">
              <w:rPr>
                <w:rFonts w:ascii="Sylfaen" w:eastAsia="Times New Roman" w:hAnsi="Sylfaen" w:cs="Arial"/>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-0,4%</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shd w:val="clear" w:color="000000" w:fill="FFF2CC"/>
            <w:vAlign w:val="center"/>
            <w:hideMark/>
          </w:tcPr>
          <w:p w:rsidR="00625504" w:rsidRPr="00625504" w:rsidRDefault="00625504" w:rsidP="00625504">
            <w:pPr>
              <w:spacing w:after="0" w:line="240" w:lineRule="auto"/>
              <w:outlineLvl w:val="0"/>
              <w:rPr>
                <w:rFonts w:ascii="Sylfaen" w:eastAsia="Times New Roman" w:hAnsi="Sylfaen" w:cs="Arial"/>
                <w:b/>
                <w:bCs/>
                <w:sz w:val="16"/>
                <w:szCs w:val="18"/>
              </w:rPr>
            </w:pPr>
            <w:r w:rsidRPr="00625504">
              <w:rPr>
                <w:rFonts w:ascii="Sylfaen" w:eastAsia="Times New Roman" w:hAnsi="Sylfaen" w:cs="Arial"/>
                <w:b/>
                <w:bCs/>
                <w:sz w:val="16"/>
                <w:szCs w:val="18"/>
              </w:rPr>
              <w:t>ფინანსური</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აქტივების</w:t>
            </w:r>
            <w:r w:rsidRPr="00625504">
              <w:rPr>
                <w:rFonts w:ascii="Arial" w:eastAsia="Times New Roman" w:hAnsi="Arial" w:cs="Arial"/>
                <w:b/>
                <w:bCs/>
                <w:sz w:val="16"/>
                <w:szCs w:val="18"/>
              </w:rPr>
              <w:t xml:space="preserve"> </w:t>
            </w:r>
            <w:r w:rsidRPr="00625504">
              <w:rPr>
                <w:rFonts w:ascii="Sylfaen" w:eastAsia="Times New Roman" w:hAnsi="Sylfaen" w:cs="Arial"/>
                <w:b/>
                <w:bCs/>
                <w:sz w:val="16"/>
                <w:szCs w:val="18"/>
              </w:rPr>
              <w:t>ზრდა</w:t>
            </w:r>
          </w:p>
        </w:tc>
        <w:tc>
          <w:tcPr>
            <w:tcW w:w="2361" w:type="pct"/>
            <w:gridSpan w:val="5"/>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FFF2CC"/>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2021-2024 (2020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0,5%</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2022-2025 (2021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sz w:val="16"/>
                <w:szCs w:val="18"/>
              </w:rPr>
            </w:pPr>
            <w:r w:rsidRPr="00625504">
              <w:rPr>
                <w:rFonts w:ascii="Sylfaen" w:eastAsia="Times New Roman" w:hAnsi="Sylfaen" w:cs="Arial"/>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2023-2026 (2022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დეკემბერი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0,5%</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 </w:t>
            </w:r>
          </w:p>
        </w:tc>
      </w:tr>
      <w:tr w:rsidR="00625504" w:rsidRPr="00625504" w:rsidTr="00625504">
        <w:trPr>
          <w:trHeight w:val="113"/>
        </w:trPr>
        <w:tc>
          <w:tcPr>
            <w:tcW w:w="1694" w:type="pct"/>
            <w:shd w:val="clear" w:color="auto" w:fill="auto"/>
            <w:vAlign w:val="center"/>
            <w:hideMark/>
          </w:tcPr>
          <w:p w:rsidR="00625504" w:rsidRPr="00625504" w:rsidRDefault="00625504" w:rsidP="00625504">
            <w:pPr>
              <w:spacing w:after="0" w:line="240" w:lineRule="auto"/>
              <w:outlineLvl w:val="0"/>
              <w:rPr>
                <w:rFonts w:ascii="Arial" w:eastAsia="Times New Roman" w:hAnsi="Arial" w:cs="Arial"/>
                <w:sz w:val="16"/>
                <w:szCs w:val="18"/>
              </w:rPr>
            </w:pPr>
            <w:r w:rsidRPr="00625504">
              <w:rPr>
                <w:rFonts w:ascii="Arial" w:eastAsia="Times New Roman" w:hAnsi="Arial" w:cs="Arial"/>
                <w:sz w:val="16"/>
                <w:szCs w:val="18"/>
              </w:rPr>
              <w:t xml:space="preserve">2024-2027 (2023 </w:t>
            </w:r>
            <w:r w:rsidRPr="00625504">
              <w:rPr>
                <w:rFonts w:ascii="Sylfaen" w:eastAsia="Times New Roman" w:hAnsi="Sylfaen" w:cs="Sylfaen"/>
                <w:sz w:val="16"/>
                <w:szCs w:val="18"/>
              </w:rPr>
              <w:t>წლის</w:t>
            </w:r>
            <w:r w:rsidRPr="00625504">
              <w:rPr>
                <w:rFonts w:ascii="Arial" w:eastAsia="Times New Roman" w:hAnsi="Arial" w:cs="Arial"/>
                <w:sz w:val="16"/>
                <w:szCs w:val="18"/>
              </w:rPr>
              <w:t xml:space="preserve"> </w:t>
            </w:r>
            <w:r w:rsidRPr="00625504">
              <w:rPr>
                <w:rFonts w:ascii="Sylfaen" w:eastAsia="Times New Roman" w:hAnsi="Sylfaen" w:cs="Sylfaen"/>
                <w:sz w:val="16"/>
                <w:szCs w:val="18"/>
              </w:rPr>
              <w:t>ივლისი</w:t>
            </w:r>
            <w:r w:rsidRPr="00625504">
              <w:rPr>
                <w:rFonts w:ascii="Arial" w:eastAsia="Times New Roman" w:hAnsi="Arial" w:cs="Arial"/>
                <w:sz w:val="16"/>
                <w:szCs w:val="18"/>
              </w:rPr>
              <w:t>)</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0,6%</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0,4%</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0,3%</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0,2%</w:t>
            </w:r>
          </w:p>
        </w:tc>
      </w:tr>
      <w:tr w:rsidR="00625504" w:rsidRPr="00625504" w:rsidTr="00625504">
        <w:trPr>
          <w:trHeight w:val="113"/>
        </w:trPr>
        <w:tc>
          <w:tcPr>
            <w:tcW w:w="1694" w:type="pct"/>
            <w:shd w:val="clear" w:color="auto" w:fill="auto"/>
            <w:noWrap/>
            <w:vAlign w:val="center"/>
            <w:hideMark/>
          </w:tcPr>
          <w:p w:rsidR="00625504" w:rsidRPr="00625504" w:rsidRDefault="00625504" w:rsidP="00625504">
            <w:pPr>
              <w:spacing w:after="0" w:line="240" w:lineRule="auto"/>
              <w:ind w:firstLineChars="100" w:firstLine="160"/>
              <w:outlineLvl w:val="0"/>
              <w:rPr>
                <w:rFonts w:ascii="Sylfaen" w:eastAsia="Times New Roman" w:hAnsi="Sylfaen" w:cs="Arial"/>
                <w:sz w:val="16"/>
                <w:szCs w:val="18"/>
              </w:rPr>
            </w:pPr>
            <w:r w:rsidRPr="00625504">
              <w:rPr>
                <w:rFonts w:ascii="Sylfaen" w:eastAsia="Times New Roman" w:hAnsi="Sylfaen" w:cs="Arial"/>
                <w:sz w:val="16"/>
                <w:szCs w:val="18"/>
              </w:rPr>
              <w:t>ცვლილება</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0,1%</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sz w:val="16"/>
                <w:szCs w:val="18"/>
              </w:rPr>
            </w:pPr>
            <w:r w:rsidRPr="00625504">
              <w:rPr>
                <w:rFonts w:ascii="Arial" w:eastAsia="Times New Roman" w:hAnsi="Arial" w:cs="Arial"/>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auto" w:fill="auto"/>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0,0%</w:t>
            </w:r>
          </w:p>
        </w:tc>
        <w:tc>
          <w:tcPr>
            <w:tcW w:w="472" w:type="pct"/>
            <w:shd w:val="clear" w:color="000000" w:fill="DDEBF7"/>
            <w:noWrap/>
            <w:vAlign w:val="center"/>
            <w:hideMark/>
          </w:tcPr>
          <w:p w:rsidR="00625504" w:rsidRPr="00625504" w:rsidRDefault="00625504" w:rsidP="00625504">
            <w:pPr>
              <w:spacing w:after="0" w:line="240" w:lineRule="auto"/>
              <w:jc w:val="center"/>
              <w:outlineLvl w:val="0"/>
              <w:rPr>
                <w:rFonts w:ascii="Arial" w:eastAsia="Times New Roman" w:hAnsi="Arial" w:cs="Arial"/>
                <w:i/>
                <w:iCs/>
                <w:sz w:val="16"/>
                <w:szCs w:val="18"/>
              </w:rPr>
            </w:pPr>
            <w:r w:rsidRPr="00625504">
              <w:rPr>
                <w:rFonts w:ascii="Arial" w:eastAsia="Times New Roman" w:hAnsi="Arial" w:cs="Arial"/>
                <w:i/>
                <w:iCs/>
                <w:sz w:val="16"/>
                <w:szCs w:val="18"/>
              </w:rPr>
              <w:t> </w:t>
            </w:r>
          </w:p>
        </w:tc>
      </w:tr>
    </w:tbl>
    <w:p w:rsidR="009653F7" w:rsidRDefault="009653F7" w:rsidP="00E124CF">
      <w:pPr>
        <w:spacing w:after="0" w:line="276" w:lineRule="auto"/>
        <w:rPr>
          <w:rFonts w:ascii="Sylfaen" w:hAnsi="Sylfaen"/>
          <w:b/>
          <w:i/>
          <w:sz w:val="20"/>
          <w:lang w:val="ka-GE"/>
        </w:rPr>
      </w:pPr>
    </w:p>
    <w:p w:rsidR="00AD4464" w:rsidRDefault="00AD4464" w:rsidP="00E124CF">
      <w:pPr>
        <w:spacing w:after="0" w:line="276" w:lineRule="auto"/>
        <w:rPr>
          <w:rFonts w:ascii="Sylfaen" w:hAnsi="Sylfaen"/>
          <w:b/>
          <w:i/>
          <w:sz w:val="20"/>
          <w:lang w:val="ka-GE"/>
        </w:rPr>
      </w:pPr>
    </w:p>
    <w:p w:rsidR="0067395F" w:rsidRPr="00625504" w:rsidRDefault="0067395F" w:rsidP="00625504">
      <w:pPr>
        <w:pStyle w:val="Heading2"/>
        <w:ind w:firstLine="720"/>
        <w:jc w:val="both"/>
        <w:rPr>
          <w:b/>
          <w:i/>
          <w:sz w:val="18"/>
          <w:lang w:val="ka-GE"/>
        </w:rPr>
      </w:pPr>
      <w:bookmarkStart w:id="4" w:name="_Toc89118362"/>
      <w:r w:rsidRPr="00625504">
        <w:rPr>
          <w:b/>
          <w:sz w:val="24"/>
          <w:lang w:val="ka-GE"/>
        </w:rPr>
        <w:t xml:space="preserve">2.2 </w:t>
      </w:r>
      <w:r w:rsidR="00606701" w:rsidRPr="00625504">
        <w:rPr>
          <w:b/>
          <w:sz w:val="24"/>
          <w:lang w:val="ka-GE"/>
        </w:rPr>
        <w:t>საშუალოვადიან პერიოდში ფისკალური ჩარჩოს შესაბამისობა</w:t>
      </w:r>
      <w:r w:rsidR="00625504">
        <w:rPr>
          <w:rFonts w:ascii="Sylfaen" w:hAnsi="Sylfaen"/>
          <w:b/>
          <w:sz w:val="24"/>
          <w:lang w:val="ka-GE"/>
        </w:rPr>
        <w:t xml:space="preserve"> </w:t>
      </w:r>
      <w:r w:rsidR="00606701" w:rsidRPr="00625504">
        <w:rPr>
          <w:b/>
          <w:sz w:val="24"/>
          <w:lang w:val="ka-GE"/>
        </w:rPr>
        <w:t xml:space="preserve">„ეკონომიკური თავისუფლების შესახებ“ საქართველოს ორგანული კანონით გათვალისწინებულ </w:t>
      </w:r>
      <w:r w:rsidRPr="00625504">
        <w:rPr>
          <w:b/>
          <w:sz w:val="24"/>
          <w:lang w:val="ka-GE"/>
        </w:rPr>
        <w:t xml:space="preserve">ფისკალურ </w:t>
      </w:r>
      <w:r w:rsidR="00606701" w:rsidRPr="00625504">
        <w:rPr>
          <w:b/>
          <w:sz w:val="24"/>
          <w:lang w:val="ka-GE"/>
        </w:rPr>
        <w:t>წესებთან</w:t>
      </w:r>
      <w:bookmarkEnd w:id="4"/>
      <w:r w:rsidR="00606701" w:rsidRPr="00625504">
        <w:rPr>
          <w:b/>
          <w:sz w:val="24"/>
          <w:lang w:val="ka-GE"/>
        </w:rPr>
        <w:t xml:space="preserve"> </w:t>
      </w:r>
    </w:p>
    <w:p w:rsidR="00476074" w:rsidRPr="00DF5464" w:rsidRDefault="00476074" w:rsidP="00476074">
      <w:pPr>
        <w:tabs>
          <w:tab w:val="left" w:pos="90"/>
        </w:tabs>
        <w:spacing w:after="0" w:line="276" w:lineRule="auto"/>
        <w:ind w:firstLine="720"/>
        <w:jc w:val="both"/>
        <w:rPr>
          <w:rFonts w:ascii="Sylfaen" w:hAnsi="Sylfaen" w:cs="Sylfaen"/>
          <w:lang w:val="ka-GE"/>
        </w:rPr>
      </w:pPr>
      <w:r w:rsidRPr="00DF5464">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sidRPr="00DF5464">
        <w:rPr>
          <w:rFonts w:ascii="Sylfaen" w:hAnsi="Sylfaen" w:cs="Sylfaen"/>
          <w:lang w:val="ka-GE"/>
        </w:rPr>
        <w:t xml:space="preserve">ქვეყანაში </w:t>
      </w:r>
      <w:r w:rsidRPr="00DF5464">
        <w:rPr>
          <w:rFonts w:ascii="Sylfaen" w:hAnsi="Sylfaen" w:cs="Sylfaen"/>
          <w:lang w:val="ka-GE"/>
        </w:rPr>
        <w:t>საგანგებო მდგომარეობის გამოცხადებიდან გამომდინარე,</w:t>
      </w:r>
      <w:r w:rsidR="00EA3D3B" w:rsidRPr="00DF5464">
        <w:rPr>
          <w:rFonts w:ascii="Sylfaen" w:hAnsi="Sylfaen" w:cs="Sylfaen"/>
          <w:lang w:val="ka-GE"/>
        </w:rPr>
        <w:t xml:space="preserve"> რაც გამოწვეული იყო ახალი კორონავირუსის (</w:t>
      </w:r>
      <w:r w:rsidR="00EA3D3B" w:rsidRPr="00DF5464">
        <w:rPr>
          <w:rFonts w:ascii="Sylfaen" w:hAnsi="Sylfaen" w:cs="Sylfaen"/>
        </w:rPr>
        <w:t>COVID-19)</w:t>
      </w:r>
      <w:r w:rsidR="00EA3D3B" w:rsidRPr="00DF5464">
        <w:rPr>
          <w:rFonts w:ascii="Sylfaen" w:hAnsi="Sylfaen" w:cs="Sylfaen"/>
          <w:lang w:val="ka-GE"/>
        </w:rPr>
        <w:t xml:space="preserve"> გავრცელებით,</w:t>
      </w:r>
      <w:r w:rsidRPr="00DF5464">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DF5464" w:rsidRDefault="00476074" w:rsidP="00476074">
      <w:pPr>
        <w:tabs>
          <w:tab w:val="left" w:pos="90"/>
        </w:tabs>
        <w:spacing w:after="0" w:line="276" w:lineRule="auto"/>
        <w:ind w:firstLine="720"/>
        <w:jc w:val="both"/>
        <w:rPr>
          <w:rFonts w:ascii="Sylfaen" w:hAnsi="Sylfaen" w:cs="Sylfaen"/>
          <w:lang w:val="ka-GE"/>
        </w:rPr>
      </w:pPr>
      <w:r w:rsidRPr="00DF5464">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sidRPr="00DF5464">
        <w:rPr>
          <w:rFonts w:ascii="Sylfaen" w:hAnsi="Sylfaen" w:cs="Sylfaen"/>
          <w:lang w:val="ka-GE"/>
        </w:rPr>
        <w:t>,</w:t>
      </w:r>
      <w:r w:rsidRPr="00DF5464">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w:t>
      </w:r>
    </w:p>
    <w:p w:rsidR="00DF5464" w:rsidRDefault="00476074" w:rsidP="00DF5464">
      <w:pPr>
        <w:tabs>
          <w:tab w:val="left" w:pos="90"/>
        </w:tabs>
        <w:spacing w:after="0" w:line="276" w:lineRule="auto"/>
        <w:ind w:firstLine="720"/>
        <w:jc w:val="both"/>
        <w:rPr>
          <w:rFonts w:ascii="Sylfaen" w:hAnsi="Sylfaen" w:cs="Sylfaen"/>
          <w:lang w:val="ka-GE"/>
        </w:rPr>
      </w:pPr>
      <w:r w:rsidRPr="00DF5464">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sidRPr="00DF5464">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w:t>
      </w:r>
      <w:r w:rsidR="003F0EA7" w:rsidRPr="00DF5464">
        <w:rPr>
          <w:rFonts w:ascii="Sylfaen" w:hAnsi="Sylfaen" w:cs="Sylfaen"/>
          <w:lang w:val="ka-GE"/>
        </w:rPr>
        <w:lastRenderedPageBreak/>
        <w:t xml:space="preserve">დაგეგმილ  მაჩვენებელთან (7.7%) შედარებით. შესაბამისად დაგეგმილთან შედარებით </w:t>
      </w:r>
      <w:r w:rsidRPr="00DF5464">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sidRPr="00DF5464">
        <w:rPr>
          <w:rFonts w:ascii="Sylfaen" w:hAnsi="Sylfaen" w:cs="Sylfaen"/>
          <w:lang w:val="ka-GE"/>
        </w:rPr>
        <w:t xml:space="preserve">განხორციელებულიყო </w:t>
      </w:r>
      <w:r w:rsidRPr="00DF5464">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w:t>
      </w:r>
      <w:r w:rsidR="006B2766" w:rsidRPr="00DF5464">
        <w:rPr>
          <w:rFonts w:ascii="Sylfaen" w:hAnsi="Sylfaen" w:cs="Sylfaen"/>
          <w:lang w:val="ka-GE"/>
        </w:rPr>
        <w:t>, ხოლო 2022 წლის ფაქტიურმა მაჩვენებელ</w:t>
      </w:r>
      <w:r w:rsidR="00DF5464" w:rsidRPr="00DF5464">
        <w:rPr>
          <w:rFonts w:ascii="Sylfaen" w:hAnsi="Sylfaen" w:cs="Sylfaen"/>
          <w:lang w:val="ka-GE"/>
        </w:rPr>
        <w:t>ი ჩამოცდა კანონმდებლობით დადგენილ ზღვარს და</w:t>
      </w:r>
      <w:r w:rsidR="006B2766" w:rsidRPr="00DF5464">
        <w:rPr>
          <w:rFonts w:ascii="Sylfaen" w:hAnsi="Sylfaen" w:cs="Sylfaen"/>
          <w:lang w:val="ka-GE"/>
        </w:rPr>
        <w:t xml:space="preserve"> </w:t>
      </w:r>
      <w:r w:rsidR="00DF5464" w:rsidRPr="00DF5464">
        <w:rPr>
          <w:rFonts w:ascii="Sylfaen" w:hAnsi="Sylfaen" w:cs="Sylfaen"/>
          <w:lang w:val="ka-GE"/>
        </w:rPr>
        <w:t xml:space="preserve">მშპ-სთან მიმართებაში 2,7% </w:t>
      </w:r>
      <w:r w:rsidR="006B2766" w:rsidRPr="00DF5464">
        <w:rPr>
          <w:rFonts w:ascii="Sylfaen" w:hAnsi="Sylfaen" w:cs="Sylfaen"/>
          <w:lang w:val="ka-GE"/>
        </w:rPr>
        <w:t>შეადგინა</w:t>
      </w:r>
      <w:r w:rsidR="00DF5464" w:rsidRPr="00DF5464">
        <w:rPr>
          <w:rFonts w:ascii="Sylfaen" w:hAnsi="Sylfaen" w:cs="Sylfaen"/>
          <w:lang w:val="ka-GE"/>
        </w:rPr>
        <w:t>.</w:t>
      </w:r>
      <w:r w:rsidR="00DF5464">
        <w:rPr>
          <w:rFonts w:ascii="Sylfaen" w:hAnsi="Sylfaen" w:cs="Sylfaen"/>
          <w:lang w:val="ka-GE"/>
        </w:rPr>
        <w:t xml:space="preserve"> </w:t>
      </w:r>
      <w:r w:rsidRPr="00DF5464">
        <w:rPr>
          <w:rFonts w:ascii="Sylfaen" w:hAnsi="Sylfaen" w:cs="Sylfaen"/>
          <w:lang w:val="ka-GE"/>
        </w:rPr>
        <w:t>2023 წლისათვის</w:t>
      </w:r>
      <w:r w:rsidR="00DF5464" w:rsidRPr="00DF5464">
        <w:rPr>
          <w:rFonts w:ascii="Sylfaen" w:hAnsi="Sylfaen" w:cs="Sylfaen"/>
          <w:lang w:val="ka-GE"/>
        </w:rPr>
        <w:t xml:space="preserve"> სახელმწიფოს ერთიანი ბიუჯეტის უარყოფითი მთლიანი სალდო დაიგეგმა  (-2 131,0) მლნ ლარის</w:t>
      </w:r>
      <w:r w:rsidR="00DF5464">
        <w:rPr>
          <w:rFonts w:ascii="Sylfaen" w:hAnsi="Sylfaen" w:cs="Sylfaen"/>
          <w:lang w:val="ka-GE"/>
        </w:rPr>
        <w:t xml:space="preserve"> ოდენობით, რაც მშპ-ის 3%-ს შეადგენს, ამასთან გადამუშავებულ პროგნოზებში, მათ შორის მთლიანი შიდა პროდუქტის დაკორექტირებული მაჩვენებლის გათვალისწინებით 2023 წელს სახელმწიფოს ერთიანი ბიუჯეტის დეფიციტი 2,7%-ს (-2 144,0 მლნ ლარი) შეადგენს. </w:t>
      </w:r>
    </w:p>
    <w:p w:rsidR="006B2766" w:rsidRPr="00DF5464" w:rsidRDefault="00DF5464" w:rsidP="00DF5464">
      <w:pPr>
        <w:tabs>
          <w:tab w:val="left" w:pos="90"/>
        </w:tabs>
        <w:spacing w:after="0" w:line="276" w:lineRule="auto"/>
        <w:ind w:firstLine="720"/>
        <w:jc w:val="both"/>
        <w:rPr>
          <w:rFonts w:ascii="Sylfaen" w:hAnsi="Sylfaen" w:cs="Sylfaen"/>
          <w:lang w:val="ka-GE"/>
        </w:rPr>
      </w:pPr>
      <w:r>
        <w:rPr>
          <w:rFonts w:ascii="Sylfaen" w:hAnsi="Sylfaen" w:cs="Sylfaen"/>
          <w:lang w:val="ka-GE"/>
        </w:rPr>
        <w:t xml:space="preserve">2024 წლისთთვის სახელმწიფოს ერთიანი ბიუჯეტის უარყოფითი მთლიანი სალდო დაგეგმილი იყო (-1 868,0) მლნ ლარის ოდენობით, რაც მშპ-ის 2,3 პროცენტია, თუმცა გადამუშავებულ პროგნოზებში სახელწმიფოს ერთიანი ბიუჯეტის უარყოფითი მთლიანი სალდო მცირედით შემცირებულია, თუმცა მთლიანი შიდა პროდუქტის მაჩვენებლის დაგეგმილთან შედარებით შემცირებიდან გამომდინარე, დეფიციტის მაჩვენებელი 2,5%-ს შეადგენს.  </w:t>
      </w:r>
    </w:p>
    <w:p w:rsidR="007E59A3" w:rsidRPr="00DF5464" w:rsidRDefault="00476074" w:rsidP="00DF5464">
      <w:pPr>
        <w:tabs>
          <w:tab w:val="left" w:pos="90"/>
        </w:tabs>
        <w:spacing w:after="0" w:line="276" w:lineRule="auto"/>
        <w:ind w:firstLine="720"/>
        <w:jc w:val="both"/>
        <w:rPr>
          <w:rFonts w:ascii="Sylfaen" w:hAnsi="Sylfaen" w:cs="Sylfaen"/>
          <w:lang w:val="ka-GE"/>
        </w:rPr>
      </w:pPr>
      <w:r w:rsidRPr="00DF5464">
        <w:rPr>
          <w:rFonts w:ascii="Sylfaen" w:hAnsi="Sylfaen" w:cs="Sylfaen"/>
          <w:lang w:val="ka-GE"/>
        </w:rPr>
        <w:t xml:space="preserve"> </w:t>
      </w:r>
      <w:r w:rsidR="007E59A3" w:rsidRPr="00DF5464">
        <w:rPr>
          <w:rFonts w:ascii="Sylfaen" w:hAnsi="Sylfaen" w:cs="Sylfaen"/>
          <w:lang w:val="ka-GE"/>
        </w:rPr>
        <w:t xml:space="preserve">განახლებული პროგნოებით </w:t>
      </w:r>
      <w:r w:rsidR="007E59A3" w:rsidRPr="00DF5464">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7E59A3" w:rsidRPr="00DF5464" w:rsidRDefault="007E59A3" w:rsidP="00625504">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DF5464">
        <w:rPr>
          <w:rFonts w:ascii="Sylfaen" w:hAnsi="Sylfaen" w:cs="Sylfaen"/>
          <w:bCs/>
          <w:noProof/>
          <w:sz w:val="22"/>
          <w:szCs w:val="22"/>
          <w:lang w:val="ka-GE"/>
        </w:rPr>
        <w:t>202</w:t>
      </w:r>
      <w:r w:rsidR="00625504">
        <w:rPr>
          <w:rFonts w:ascii="Sylfaen" w:hAnsi="Sylfaen" w:cs="Sylfaen"/>
          <w:bCs/>
          <w:noProof/>
          <w:sz w:val="22"/>
          <w:szCs w:val="22"/>
          <w:lang w:val="ka-GE"/>
        </w:rPr>
        <w:t>4</w:t>
      </w:r>
      <w:r w:rsidRPr="00DF5464">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განისაზღვრება 2 </w:t>
      </w:r>
      <w:r w:rsidR="00625504">
        <w:rPr>
          <w:rFonts w:ascii="Sylfaen" w:hAnsi="Sylfaen" w:cs="Sylfaen"/>
          <w:bCs/>
          <w:noProof/>
          <w:sz w:val="22"/>
          <w:szCs w:val="22"/>
          <w:lang w:val="ka-GE"/>
        </w:rPr>
        <w:t>023</w:t>
      </w:r>
      <w:r w:rsidRPr="00DF5464">
        <w:rPr>
          <w:rFonts w:ascii="Sylfaen" w:hAnsi="Sylfaen" w:cs="Sylfaen"/>
          <w:bCs/>
          <w:noProof/>
          <w:sz w:val="22"/>
          <w:szCs w:val="22"/>
          <w:lang w:val="ka-GE"/>
        </w:rPr>
        <w:t>,</w:t>
      </w:r>
      <w:r w:rsidR="00625504">
        <w:rPr>
          <w:rFonts w:ascii="Sylfaen" w:hAnsi="Sylfaen" w:cs="Sylfaen"/>
          <w:bCs/>
          <w:noProof/>
          <w:sz w:val="22"/>
          <w:szCs w:val="22"/>
          <w:lang w:val="ka-GE"/>
        </w:rPr>
        <w:t>8</w:t>
      </w:r>
      <w:r w:rsidRPr="00DF5464">
        <w:rPr>
          <w:rFonts w:ascii="Sylfaen" w:hAnsi="Sylfaen" w:cs="Sylfaen"/>
          <w:bCs/>
          <w:noProof/>
          <w:sz w:val="22"/>
          <w:szCs w:val="22"/>
          <w:lang w:val="ka-GE"/>
        </w:rPr>
        <w:t xml:space="preserve"> მლნ ლარით, რაც პროგნოზირებული მთლიანი შიდა პროდუქტის (მშპ-ის) 2.</w:t>
      </w:r>
      <w:r w:rsidR="00625504">
        <w:rPr>
          <w:rFonts w:ascii="Sylfaen" w:hAnsi="Sylfaen" w:cs="Sylfaen"/>
          <w:bCs/>
          <w:noProof/>
          <w:sz w:val="22"/>
          <w:szCs w:val="22"/>
          <w:lang w:val="ka-GE"/>
        </w:rPr>
        <w:t>5</w:t>
      </w:r>
      <w:r w:rsidRPr="00DF5464">
        <w:rPr>
          <w:rFonts w:ascii="Sylfaen" w:hAnsi="Sylfaen" w:cs="Sylfaen"/>
          <w:bCs/>
          <w:noProof/>
          <w:sz w:val="22"/>
          <w:szCs w:val="22"/>
          <w:lang w:val="ka-GE"/>
        </w:rPr>
        <w:t>%-ს შეადგენს (დადგენილი ზღვარი – მშპ-ის 3%);</w:t>
      </w:r>
    </w:p>
    <w:p w:rsidR="007E59A3" w:rsidRPr="00625504" w:rsidRDefault="00625504" w:rsidP="00625504">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625504">
        <w:rPr>
          <w:rFonts w:ascii="Sylfaen" w:hAnsi="Sylfaen" w:cs="Sylfaen"/>
          <w:bCs/>
          <w:noProof/>
          <w:sz w:val="22"/>
          <w:szCs w:val="22"/>
          <w:lang w:val="ka-GE"/>
        </w:rPr>
        <w:t>2024</w:t>
      </w:r>
      <w:r w:rsidR="007E59A3" w:rsidRPr="00625504">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38.3%-ით,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(2022 წლის 1 იანვრის მდგომარეობით) − მთლიანი შიდა პროდუქტის (მშპ-ის) 0.5%-ით − ჯამი: მშპ-ის 38,</w:t>
      </w:r>
      <w:r w:rsidRPr="00625504">
        <w:rPr>
          <w:rFonts w:ascii="Sylfaen" w:hAnsi="Sylfaen" w:cs="Sylfaen"/>
          <w:bCs/>
          <w:noProof/>
          <w:sz w:val="22"/>
          <w:szCs w:val="22"/>
          <w:lang w:val="ka-GE"/>
        </w:rPr>
        <w:t>6</w:t>
      </w:r>
      <w:r w:rsidR="007E59A3" w:rsidRPr="00625504">
        <w:rPr>
          <w:rFonts w:ascii="Sylfaen" w:hAnsi="Sylfaen" w:cs="Sylfaen"/>
          <w:bCs/>
          <w:noProof/>
          <w:sz w:val="22"/>
          <w:szCs w:val="22"/>
          <w:lang w:val="ka-GE"/>
        </w:rPr>
        <w:t>% (დადგენილი ზღვარი – მშპ-ის 60%).</w:t>
      </w:r>
    </w:p>
    <w:p w:rsidR="007E59A3" w:rsidRPr="00625504" w:rsidRDefault="007E59A3" w:rsidP="0062550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25504">
        <w:rPr>
          <w:rFonts w:ascii="Sylfaen" w:hAnsi="Sylfaen" w:cs="Sylfaen"/>
          <w:bCs/>
          <w:noProof/>
          <w:sz w:val="22"/>
          <w:szCs w:val="22"/>
          <w:lang w:val="ka-GE"/>
        </w:rPr>
        <w:tab/>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w:t>
      </w:r>
      <w:r w:rsidR="00625504" w:rsidRPr="00625504">
        <w:rPr>
          <w:rFonts w:ascii="Sylfaen" w:hAnsi="Sylfaen" w:cs="Sylfaen"/>
          <w:bCs/>
          <w:noProof/>
          <w:sz w:val="22"/>
          <w:szCs w:val="22"/>
          <w:lang w:val="ka-GE"/>
        </w:rPr>
        <w:t xml:space="preserve"> 2024 წელს </w:t>
      </w:r>
      <w:r w:rsidRPr="00625504">
        <w:rPr>
          <w:rFonts w:ascii="Sylfaen" w:hAnsi="Sylfaen" w:cs="Sylfaen"/>
          <w:bCs/>
          <w:noProof/>
          <w:sz w:val="22"/>
          <w:szCs w:val="22"/>
          <w:lang w:val="ka-GE"/>
        </w:rPr>
        <w:t>2 </w:t>
      </w:r>
      <w:r w:rsidR="00625504" w:rsidRPr="00625504">
        <w:rPr>
          <w:rFonts w:ascii="Sylfaen" w:hAnsi="Sylfaen" w:cs="Sylfaen"/>
          <w:bCs/>
          <w:noProof/>
          <w:sz w:val="22"/>
          <w:szCs w:val="22"/>
          <w:lang w:val="ka-GE"/>
        </w:rPr>
        <w:t>145</w:t>
      </w:r>
      <w:r w:rsidRPr="00625504">
        <w:rPr>
          <w:rFonts w:ascii="Sylfaen" w:hAnsi="Sylfaen" w:cs="Sylfaen"/>
          <w:bCs/>
          <w:noProof/>
          <w:sz w:val="22"/>
          <w:szCs w:val="22"/>
          <w:lang w:val="ka-GE"/>
        </w:rPr>
        <w:t>,0 მლნ ლარია და მშპ-ს 2,</w:t>
      </w:r>
      <w:r w:rsidR="00625504" w:rsidRPr="00625504">
        <w:rPr>
          <w:rFonts w:ascii="Sylfaen" w:hAnsi="Sylfaen" w:cs="Sylfaen"/>
          <w:bCs/>
          <w:noProof/>
          <w:sz w:val="22"/>
          <w:szCs w:val="22"/>
          <w:lang w:val="ka-GE"/>
        </w:rPr>
        <w:t>5</w:t>
      </w:r>
      <w:r w:rsidRPr="00625504">
        <w:rPr>
          <w:rFonts w:ascii="Sylfaen" w:hAnsi="Sylfaen" w:cs="Sylfaen"/>
          <w:bCs/>
          <w:noProof/>
          <w:sz w:val="22"/>
          <w:szCs w:val="22"/>
          <w:lang w:val="ka-GE"/>
        </w:rPr>
        <w:t>%-ს შეადგენს.</w:t>
      </w:r>
    </w:p>
    <w:p w:rsidR="00F162FD" w:rsidRDefault="00B967E4" w:rsidP="00B967E4">
      <w:pPr>
        <w:spacing w:line="276" w:lineRule="auto"/>
        <w:ind w:firstLine="720"/>
        <w:jc w:val="both"/>
        <w:rPr>
          <w:rFonts w:ascii="Sylfaen" w:hAnsi="Sylfaen" w:cs="Sylfaen"/>
          <w:bCs/>
          <w:noProof/>
          <w:sz w:val="20"/>
          <w:lang w:val="ka-GE"/>
        </w:rPr>
      </w:pPr>
      <w:r w:rsidRPr="00625504">
        <w:rPr>
          <w:rFonts w:ascii="Sylfaen" w:hAnsi="Sylfaen" w:cs="Sylfaen"/>
          <w:lang w:val="ka-GE"/>
        </w:rPr>
        <w:t>202</w:t>
      </w:r>
      <w:r w:rsidR="00625504">
        <w:rPr>
          <w:rFonts w:ascii="Sylfaen" w:hAnsi="Sylfaen" w:cs="Sylfaen"/>
          <w:lang w:val="ka-GE"/>
        </w:rPr>
        <w:t>1</w:t>
      </w:r>
      <w:r w:rsidRPr="00625504">
        <w:rPr>
          <w:rFonts w:ascii="Sylfaen" w:hAnsi="Sylfaen" w:cs="Sylfaen"/>
          <w:lang w:val="ka-GE"/>
        </w:rPr>
        <w:t>-202</w:t>
      </w:r>
      <w:r w:rsidR="00625504">
        <w:rPr>
          <w:rFonts w:ascii="Sylfaen" w:hAnsi="Sylfaen" w:cs="Sylfaen"/>
          <w:lang w:val="ka-GE"/>
        </w:rPr>
        <w:t>7</w:t>
      </w:r>
      <w:r w:rsidRPr="00625504">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w:t>
      </w:r>
      <w:r w:rsidR="000848C7" w:rsidRPr="00625504">
        <w:rPr>
          <w:rFonts w:ascii="Sylfaen" w:hAnsi="Sylfaen" w:cs="Sylfaen"/>
          <w:bCs/>
          <w:noProof/>
          <w:sz w:val="20"/>
          <w:lang w:val="ka-GE"/>
        </w:rPr>
        <w:t xml:space="preserve">№9 </w:t>
      </w:r>
      <w:r w:rsidRPr="00625504">
        <w:rPr>
          <w:rFonts w:ascii="Sylfaen" w:hAnsi="Sylfaen" w:cs="Sylfaen"/>
          <w:lang w:val="ka-GE"/>
        </w:rPr>
        <w:t>ცხრილში</w:t>
      </w:r>
      <w:r w:rsidRPr="00625504">
        <w:rPr>
          <w:rFonts w:ascii="Sylfaen" w:hAnsi="Sylfaen" w:cs="Sylfaen"/>
          <w:bCs/>
          <w:noProof/>
          <w:sz w:val="20"/>
          <w:lang w:val="ka-GE"/>
        </w:rPr>
        <w:t>.</w:t>
      </w:r>
    </w:p>
    <w:p w:rsidR="00F162FD" w:rsidRDefault="00F162FD" w:rsidP="00444998">
      <w:pPr>
        <w:spacing w:after="0" w:line="240" w:lineRule="auto"/>
        <w:ind w:firstLine="709"/>
        <w:jc w:val="both"/>
        <w:rPr>
          <w:noProof/>
          <w:lang w:val="ka-GE"/>
        </w:rPr>
      </w:pPr>
      <w:r>
        <w:rPr>
          <w:noProof/>
          <w:lang w:val="ka-GE"/>
        </w:rPr>
        <w:br w:type="page"/>
      </w:r>
    </w:p>
    <w:p w:rsidR="00625504" w:rsidRDefault="0062550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sectPr w:rsidR="00625504" w:rsidSect="00F23BC2">
          <w:footerReference w:type="default" r:id="rId8"/>
          <w:pgSz w:w="12240" w:h="15840"/>
          <w:pgMar w:top="709" w:right="900" w:bottom="1134" w:left="993" w:header="720" w:footer="720" w:gutter="0"/>
          <w:pgNumType w:start="1"/>
          <w:cols w:space="720"/>
          <w:titlePg/>
          <w:docGrid w:linePitch="360"/>
        </w:sectPr>
      </w:pP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lastRenderedPageBreak/>
        <w:t>ცხრილი №9</w:t>
      </w:r>
      <w:r w:rsidRPr="00C9780C">
        <w:rPr>
          <w:rFonts w:ascii="Sylfaen" w:hAnsi="Sylfaen" w:cs="Sylfaen"/>
          <w:b/>
          <w:bCs/>
          <w:noProof/>
          <w:sz w:val="20"/>
          <w:szCs w:val="22"/>
          <w:lang w:val="ka-GE"/>
        </w:rPr>
        <w:t xml:space="preserve"> - ბიუჯეტის დეფიციტის პროგნოზების შედარება</w:t>
      </w:r>
    </w:p>
    <w:p w:rsidR="00B967E4" w:rsidRDefault="008C666C" w:rsidP="008C66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26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92"/>
        <w:gridCol w:w="838"/>
        <w:gridCol w:w="839"/>
        <w:gridCol w:w="842"/>
        <w:gridCol w:w="851"/>
        <w:gridCol w:w="859"/>
        <w:gridCol w:w="857"/>
        <w:gridCol w:w="889"/>
        <w:gridCol w:w="936"/>
        <w:gridCol w:w="851"/>
        <w:gridCol w:w="898"/>
        <w:gridCol w:w="851"/>
        <w:gridCol w:w="986"/>
        <w:gridCol w:w="845"/>
        <w:gridCol w:w="977"/>
        <w:gridCol w:w="6"/>
      </w:tblGrid>
      <w:tr w:rsidR="00AD4464" w:rsidRPr="00AD4464" w:rsidTr="00AD4464">
        <w:trPr>
          <w:gridAfter w:val="1"/>
          <w:wAfter w:w="2" w:type="pct"/>
          <w:trHeight w:val="255"/>
        </w:trPr>
        <w:tc>
          <w:tcPr>
            <w:tcW w:w="813" w:type="pct"/>
            <w:vMerge w:val="restar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Sylfaen" w:eastAsia="Times New Roman" w:hAnsi="Sylfaen" w:cs="Sylfaen"/>
                <w:b/>
                <w:bCs/>
                <w:sz w:val="16"/>
                <w:szCs w:val="18"/>
              </w:rPr>
              <w:t>დასახელება</w:t>
            </w:r>
          </w:p>
        </w:tc>
        <w:tc>
          <w:tcPr>
            <w:tcW w:w="2030" w:type="pct"/>
            <w:gridSpan w:val="7"/>
            <w:shd w:val="clear" w:color="auto" w:fill="auto"/>
            <w:noWrap/>
            <w:vAlign w:val="center"/>
            <w:hideMark/>
          </w:tcPr>
          <w:p w:rsidR="00625504" w:rsidRPr="00AD4464" w:rsidRDefault="00625504" w:rsidP="00625504">
            <w:pPr>
              <w:spacing w:after="0" w:line="240" w:lineRule="auto"/>
              <w:jc w:val="center"/>
              <w:rPr>
                <w:rFonts w:ascii="Sylfaen" w:eastAsia="Times New Roman" w:hAnsi="Sylfaen" w:cs="Arial"/>
                <w:b/>
                <w:bCs/>
                <w:sz w:val="16"/>
                <w:szCs w:val="18"/>
              </w:rPr>
            </w:pPr>
            <w:r w:rsidRPr="00AD4464">
              <w:rPr>
                <w:rFonts w:ascii="Sylfaen" w:eastAsia="Times New Roman" w:hAnsi="Sylfaen" w:cs="Arial"/>
                <w:b/>
                <w:bCs/>
                <w:sz w:val="16"/>
                <w:szCs w:val="18"/>
              </w:rPr>
              <w:t>ნაერთი ბიუჯეტი</w:t>
            </w:r>
          </w:p>
        </w:tc>
        <w:tc>
          <w:tcPr>
            <w:tcW w:w="2155" w:type="pct"/>
            <w:gridSpan w:val="7"/>
            <w:shd w:val="clear" w:color="auto" w:fill="auto"/>
            <w:noWrap/>
            <w:vAlign w:val="center"/>
            <w:hideMark/>
          </w:tcPr>
          <w:p w:rsidR="00625504" w:rsidRPr="00AD4464" w:rsidRDefault="00625504" w:rsidP="00625504">
            <w:pPr>
              <w:spacing w:after="0" w:line="240" w:lineRule="auto"/>
              <w:jc w:val="center"/>
              <w:rPr>
                <w:rFonts w:ascii="Sylfaen" w:eastAsia="Times New Roman" w:hAnsi="Sylfaen" w:cs="Arial"/>
                <w:b/>
                <w:bCs/>
                <w:sz w:val="16"/>
                <w:szCs w:val="18"/>
              </w:rPr>
            </w:pPr>
            <w:r w:rsidRPr="00AD4464">
              <w:rPr>
                <w:rFonts w:ascii="Sylfaen" w:eastAsia="Times New Roman" w:hAnsi="Sylfaen" w:cs="Arial"/>
                <w:b/>
                <w:bCs/>
                <w:sz w:val="16"/>
                <w:szCs w:val="18"/>
              </w:rPr>
              <w:t>სახელმწიფოს ერთიანი ბიუჯეტი</w:t>
            </w:r>
          </w:p>
        </w:tc>
      </w:tr>
      <w:tr w:rsidR="00AD4464" w:rsidRPr="00AD4464" w:rsidTr="00AD4464">
        <w:trPr>
          <w:trHeight w:val="255"/>
        </w:trPr>
        <w:tc>
          <w:tcPr>
            <w:tcW w:w="813" w:type="pct"/>
            <w:vMerge/>
            <w:vAlign w:val="center"/>
            <w:hideMark/>
          </w:tcPr>
          <w:p w:rsidR="00625504" w:rsidRPr="00AD4464" w:rsidRDefault="00625504" w:rsidP="00625504">
            <w:pPr>
              <w:spacing w:after="0" w:line="240" w:lineRule="auto"/>
              <w:rPr>
                <w:rFonts w:ascii="Arial" w:eastAsia="Times New Roman" w:hAnsi="Arial" w:cs="Arial"/>
                <w:b/>
                <w:bCs/>
                <w:sz w:val="16"/>
                <w:szCs w:val="18"/>
              </w:rPr>
            </w:pP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2021</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2022</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2023</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2024</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2025</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2026</w:t>
            </w:r>
          </w:p>
        </w:tc>
        <w:tc>
          <w:tcPr>
            <w:tcW w:w="30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2027</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2021</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2022</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2023</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2024</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2025</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2026</w:t>
            </w:r>
          </w:p>
        </w:tc>
        <w:tc>
          <w:tcPr>
            <w:tcW w:w="334" w:type="pct"/>
            <w:gridSpan w:val="2"/>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2027</w:t>
            </w:r>
          </w:p>
        </w:tc>
      </w:tr>
      <w:tr w:rsidR="00AD4464" w:rsidRPr="00AD4464" w:rsidTr="00AD4464">
        <w:trPr>
          <w:trHeight w:val="255"/>
        </w:trPr>
        <w:tc>
          <w:tcPr>
            <w:tcW w:w="5000" w:type="pct"/>
            <w:gridSpan w:val="16"/>
            <w:shd w:val="clear" w:color="000000" w:fill="D9E1F2"/>
            <w:noWrap/>
            <w:vAlign w:val="center"/>
            <w:hideMark/>
          </w:tcPr>
          <w:p w:rsidR="00AD4464" w:rsidRPr="00AD4464" w:rsidRDefault="00AD4464" w:rsidP="00AD4464">
            <w:pPr>
              <w:spacing w:after="0" w:line="240" w:lineRule="auto"/>
              <w:rPr>
                <w:rFonts w:ascii="Sylfaen" w:eastAsia="Times New Roman" w:hAnsi="Sylfaen" w:cs="Arial"/>
                <w:b/>
                <w:bCs/>
                <w:sz w:val="16"/>
                <w:szCs w:val="18"/>
              </w:rPr>
            </w:pPr>
            <w:r w:rsidRPr="00AD4464">
              <w:rPr>
                <w:rFonts w:ascii="Sylfaen" w:eastAsia="Times New Roman" w:hAnsi="Sylfaen" w:cs="Arial"/>
                <w:b/>
                <w:bCs/>
                <w:sz w:val="16"/>
                <w:szCs w:val="18"/>
              </w:rPr>
              <w:t>მთლიანი</w:t>
            </w:r>
            <w:r w:rsidRPr="00AD4464">
              <w:rPr>
                <w:rFonts w:ascii="Arial" w:eastAsia="Times New Roman" w:hAnsi="Arial" w:cs="Arial"/>
                <w:b/>
                <w:bCs/>
                <w:sz w:val="16"/>
                <w:szCs w:val="18"/>
              </w:rPr>
              <w:t xml:space="preserve"> </w:t>
            </w:r>
            <w:r>
              <w:rPr>
                <w:rFonts w:ascii="Sylfaen" w:eastAsia="Times New Roman" w:hAnsi="Sylfaen" w:cs="Arial"/>
                <w:b/>
                <w:bCs/>
                <w:sz w:val="16"/>
                <w:szCs w:val="18"/>
              </w:rPr>
              <w:t>სალდო</w:t>
            </w:r>
            <w:r w:rsidRPr="00AD4464">
              <w:rPr>
                <w:rFonts w:ascii="Arial" w:eastAsia="Times New Roman" w:hAnsi="Arial" w:cs="Arial"/>
                <w:sz w:val="16"/>
                <w:szCs w:val="18"/>
              </w:rPr>
              <w:t>   </w:t>
            </w:r>
          </w:p>
        </w:tc>
      </w:tr>
      <w:tr w:rsidR="00AD4464" w:rsidRPr="00AD4464" w:rsidTr="00AD4464">
        <w:trPr>
          <w:trHeight w:val="450"/>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2021-2024 (2020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-3 991,0</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-2 399,0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-1 813,0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-1 646,0</w:t>
            </w:r>
          </w:p>
        </w:tc>
        <w:tc>
          <w:tcPr>
            <w:tcW w:w="29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-4 131,9</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-2 342,6</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-1 819,0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-1 819,0</w:t>
            </w:r>
          </w:p>
        </w:tc>
        <w:tc>
          <w:tcPr>
            <w:tcW w:w="335"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25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2022-2025 (2021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-3 968,0</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-2 777,0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-1 959,0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-1 929,0</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-1 929,0</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-3 928,0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-2 750,0</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-1 940,0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-1 940,0</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-1 959,0</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330"/>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2023-2026 (2022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-3 793,9</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-2 011,0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-2 381,0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-1 898,0</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-2 048,0</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-2 093,0</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-3 731,5</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-1 963,0</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-2 261,0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-1 868,0</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-2 083,0</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-2 153,0</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330"/>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2024-2027 (2023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ივლისი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-3 793,9</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-1 766,0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-2 288,0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-2 025,0</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-1 990,0</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-2 064,0</w:t>
            </w:r>
          </w:p>
        </w:tc>
        <w:tc>
          <w:tcPr>
            <w:tcW w:w="30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-2 181,0</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-3 795,8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-1 600,5</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-2 316,8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-2 023,8</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-1 966,0</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-2 033,7</w:t>
            </w:r>
          </w:p>
        </w:tc>
        <w:tc>
          <w:tcPr>
            <w:tcW w:w="334" w:type="pct"/>
            <w:gridSpan w:val="2"/>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-2 214,5</w:t>
            </w:r>
          </w:p>
        </w:tc>
      </w:tr>
      <w:tr w:rsidR="00AD4464" w:rsidRPr="00AD4464" w:rsidTr="00AD4464">
        <w:trPr>
          <w:trHeight w:val="375"/>
        </w:trPr>
        <w:tc>
          <w:tcPr>
            <w:tcW w:w="5000" w:type="pct"/>
            <w:gridSpan w:val="16"/>
            <w:shd w:val="clear" w:color="000000" w:fill="D9E1F2"/>
            <w:noWrap/>
            <w:vAlign w:val="center"/>
            <w:hideMark/>
          </w:tcPr>
          <w:p w:rsidR="00AD4464" w:rsidRPr="00AD4464" w:rsidRDefault="00AD4464" w:rsidP="00625504">
            <w:pPr>
              <w:spacing w:after="0" w:line="240" w:lineRule="auto"/>
              <w:rPr>
                <w:rFonts w:ascii="Sylfaen" w:eastAsia="Times New Roman" w:hAnsi="Sylfaen" w:cs="Arial"/>
                <w:b/>
                <w:bCs/>
                <w:sz w:val="16"/>
                <w:szCs w:val="18"/>
              </w:rPr>
            </w:pPr>
            <w:r w:rsidRPr="00AD4464">
              <w:rPr>
                <w:rFonts w:ascii="Sylfaen" w:eastAsia="Times New Roman" w:hAnsi="Sylfaen" w:cs="Arial"/>
                <w:b/>
                <w:bCs/>
                <w:sz w:val="16"/>
                <w:szCs w:val="18"/>
              </w:rPr>
              <w:t>მოდიფიცირებული</w:t>
            </w:r>
            <w:r w:rsidRPr="00AD4464">
              <w:rPr>
                <w:rFonts w:ascii="Arial" w:eastAsia="Times New Roman" w:hAnsi="Arial" w:cs="Arial"/>
                <w:b/>
                <w:bCs/>
                <w:sz w:val="16"/>
                <w:szCs w:val="18"/>
              </w:rPr>
              <w:t xml:space="preserve"> </w:t>
            </w:r>
            <w:r w:rsidRPr="00AD4464">
              <w:rPr>
                <w:rFonts w:ascii="Sylfaen" w:eastAsia="Times New Roman" w:hAnsi="Sylfaen" w:cs="Arial"/>
                <w:b/>
                <w:bCs/>
                <w:sz w:val="16"/>
                <w:szCs w:val="18"/>
              </w:rPr>
              <w:t>დეფიციტი</w:t>
            </w:r>
            <w:r w:rsidRPr="00AD4464">
              <w:rPr>
                <w:rFonts w:ascii="Arial" w:eastAsia="Times New Roman" w:hAnsi="Arial" w:cs="Arial"/>
                <w:b/>
                <w:bCs/>
                <w:sz w:val="16"/>
                <w:szCs w:val="18"/>
              </w:rPr>
              <w:t xml:space="preserve"> (IMF </w:t>
            </w:r>
            <w:r w:rsidRPr="00AD4464">
              <w:rPr>
                <w:rFonts w:ascii="Sylfaen" w:eastAsia="Times New Roman" w:hAnsi="Sylfaen" w:cs="Arial"/>
                <w:b/>
                <w:bCs/>
                <w:sz w:val="16"/>
                <w:szCs w:val="18"/>
              </w:rPr>
              <w:t>პროგრამა)</w:t>
            </w:r>
          </w:p>
        </w:tc>
      </w:tr>
      <w:tr w:rsidR="00AD4464" w:rsidRPr="00AD4464" w:rsidTr="00AD4464">
        <w:trPr>
          <w:trHeight w:val="40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2021-2024 (2020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-4 082,0</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-2 534,0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-1 948,0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-1 781,0</w:t>
            </w:r>
          </w:p>
        </w:tc>
        <w:tc>
          <w:tcPr>
            <w:tcW w:w="29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-4 228,8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-2 487,6</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-1 964,0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-1 964,0</w:t>
            </w:r>
          </w:p>
        </w:tc>
        <w:tc>
          <w:tcPr>
            <w:tcW w:w="335"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25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2022-2025 (2021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-3 913,0</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-2 852,0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-2 079,0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-2 049,0</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-2 049,0</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-3 880,0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-2 835,0</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-2 070,0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-2 055,0</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-2 064,0</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300"/>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2023-2026 (2022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-3 662,2</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-2 251,0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-2 261,0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-2 018,0</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-2 168,0</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-2 213,0</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-3 768,2</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-2 178,0</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-2 131,0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-1 978,0</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-2 193,0</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-2 263,0</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31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2024-2027 (2023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ივლისი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-3 662,2</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-2 203,0</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-2 168,0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-2 145,0</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-2 110,0</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-2 184,0</w:t>
            </w:r>
          </w:p>
        </w:tc>
        <w:tc>
          <w:tcPr>
            <w:tcW w:w="30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-2 301,0</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-3 583,6</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-1 886,2</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-2 144,8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-2 092,9</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-2 090,7</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-2 185,3</w:t>
            </w:r>
          </w:p>
        </w:tc>
        <w:tc>
          <w:tcPr>
            <w:tcW w:w="334" w:type="pct"/>
            <w:gridSpan w:val="2"/>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-2 380,8</w:t>
            </w:r>
          </w:p>
        </w:tc>
      </w:tr>
      <w:tr w:rsidR="00AD4464" w:rsidRPr="00AD4464" w:rsidTr="00AD4464">
        <w:trPr>
          <w:trHeight w:val="255"/>
        </w:trPr>
        <w:tc>
          <w:tcPr>
            <w:tcW w:w="5000" w:type="pct"/>
            <w:gridSpan w:val="16"/>
            <w:shd w:val="clear" w:color="auto" w:fill="auto"/>
            <w:noWrap/>
            <w:vAlign w:val="center"/>
            <w:hideMark/>
          </w:tcPr>
          <w:p w:rsidR="00AD4464" w:rsidRPr="00AD4464" w:rsidRDefault="00AD4464" w:rsidP="00AD4464">
            <w:pPr>
              <w:spacing w:after="0" w:line="240" w:lineRule="auto"/>
              <w:jc w:val="center"/>
              <w:rPr>
                <w:rFonts w:ascii="Arial" w:eastAsia="Times New Roman" w:hAnsi="Arial" w:cs="Arial"/>
                <w:b/>
                <w:bCs/>
                <w:sz w:val="16"/>
                <w:szCs w:val="18"/>
              </w:rPr>
            </w:pPr>
            <w:r w:rsidRPr="00AD4464">
              <w:rPr>
                <w:rFonts w:ascii="Arial" w:eastAsia="Times New Roman" w:hAnsi="Arial" w:cs="Arial"/>
                <w:b/>
                <w:bCs/>
                <w:sz w:val="16"/>
                <w:szCs w:val="18"/>
              </w:rPr>
              <w:t xml:space="preserve">% </w:t>
            </w:r>
            <w:r w:rsidRPr="00AD4464">
              <w:rPr>
                <w:rFonts w:ascii="Sylfaen" w:eastAsia="Times New Roman" w:hAnsi="Sylfaen" w:cs="Arial"/>
                <w:b/>
                <w:bCs/>
                <w:sz w:val="16"/>
                <w:szCs w:val="18"/>
              </w:rPr>
              <w:t>მშპ</w:t>
            </w:r>
            <w:r w:rsidRPr="00AD4464">
              <w:rPr>
                <w:rFonts w:ascii="Arial" w:eastAsia="Times New Roman" w:hAnsi="Arial" w:cs="Arial"/>
                <w:b/>
                <w:bCs/>
                <w:sz w:val="16"/>
                <w:szCs w:val="18"/>
              </w:rPr>
              <w:t>-</w:t>
            </w:r>
            <w:r>
              <w:rPr>
                <w:rFonts w:ascii="Sylfaen" w:eastAsia="Times New Roman" w:hAnsi="Sylfaen" w:cs="Arial"/>
                <w:b/>
                <w:bCs/>
                <w:sz w:val="16"/>
                <w:szCs w:val="18"/>
              </w:rPr>
              <w:t>თან</w:t>
            </w:r>
          </w:p>
        </w:tc>
      </w:tr>
      <w:tr w:rsidR="00AD4464" w:rsidRPr="00AD4464" w:rsidTr="00AD4464">
        <w:trPr>
          <w:trHeight w:val="300"/>
        </w:trPr>
        <w:tc>
          <w:tcPr>
            <w:tcW w:w="5000" w:type="pct"/>
            <w:gridSpan w:val="16"/>
            <w:shd w:val="clear" w:color="000000" w:fill="D9E1F2"/>
            <w:vAlign w:val="center"/>
            <w:hideMark/>
          </w:tcPr>
          <w:p w:rsidR="00AD4464" w:rsidRPr="00AD4464" w:rsidRDefault="00AD4464" w:rsidP="00625504">
            <w:pPr>
              <w:spacing w:after="0" w:line="240" w:lineRule="auto"/>
              <w:rPr>
                <w:rFonts w:ascii="Sylfaen" w:eastAsia="Times New Roman" w:hAnsi="Sylfaen" w:cs="Arial"/>
                <w:b/>
                <w:bCs/>
                <w:sz w:val="16"/>
                <w:szCs w:val="18"/>
              </w:rPr>
            </w:pPr>
            <w:r w:rsidRPr="00AD4464">
              <w:rPr>
                <w:rFonts w:ascii="Sylfaen" w:eastAsia="Times New Roman" w:hAnsi="Sylfaen" w:cs="Arial"/>
                <w:b/>
                <w:bCs/>
                <w:sz w:val="16"/>
                <w:szCs w:val="18"/>
              </w:rPr>
              <w:t>მთლიანი</w:t>
            </w:r>
            <w:r w:rsidRPr="00AD4464">
              <w:rPr>
                <w:rFonts w:ascii="Arial" w:eastAsia="Times New Roman" w:hAnsi="Arial" w:cs="Arial"/>
                <w:b/>
                <w:bCs/>
                <w:sz w:val="16"/>
                <w:szCs w:val="18"/>
              </w:rPr>
              <w:t xml:space="preserve"> </w:t>
            </w:r>
            <w:r w:rsidRPr="00AD4464">
              <w:rPr>
                <w:rFonts w:ascii="Sylfaen" w:eastAsia="Times New Roman" w:hAnsi="Sylfaen" w:cs="Arial"/>
                <w:b/>
                <w:bCs/>
                <w:sz w:val="16"/>
                <w:szCs w:val="18"/>
              </w:rPr>
              <w:t>სალდო</w:t>
            </w:r>
            <w:r w:rsidRPr="00AD4464">
              <w:rPr>
                <w:rFonts w:ascii="Arial" w:eastAsia="Times New Roman" w:hAnsi="Arial" w:cs="Arial"/>
                <w:sz w:val="16"/>
                <w:szCs w:val="20"/>
              </w:rPr>
              <w:t> </w:t>
            </w:r>
          </w:p>
        </w:tc>
      </w:tr>
      <w:tr w:rsidR="00AD4464" w:rsidRPr="00AD4464" w:rsidTr="00AD4464">
        <w:trPr>
          <w:trHeight w:val="25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2021-2024 (2020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-7,5%</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-4,1%</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-2,9%</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-2,4%</w:t>
            </w:r>
          </w:p>
        </w:tc>
        <w:tc>
          <w:tcPr>
            <w:tcW w:w="29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-7,7%</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-4,0%</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-2,9%</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-2,7%</w:t>
            </w:r>
          </w:p>
        </w:tc>
        <w:tc>
          <w:tcPr>
            <w:tcW w:w="335"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25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2022-2025 (2021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-6,8%</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-4,3%</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-2,5%</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-2,3%</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-6,7%</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-4,2%</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-2,5%</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-2,4%</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25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2023-2026 (2022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-6,3%</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-2,8%</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-2,1%</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-6,2%</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-2,7%</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-2,1%</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25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2024-2027 (2023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ივლისი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-6,3%</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-2,5%</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-2,9%</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-2,4%</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-2,1%</w:t>
            </w:r>
          </w:p>
        </w:tc>
        <w:tc>
          <w:tcPr>
            <w:tcW w:w="30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-2,0%</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-6,3%</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-2,4%</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-2,1%</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-2,1%</w:t>
            </w:r>
          </w:p>
        </w:tc>
        <w:tc>
          <w:tcPr>
            <w:tcW w:w="334" w:type="pct"/>
            <w:gridSpan w:val="2"/>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-2,1%</w:t>
            </w:r>
          </w:p>
        </w:tc>
      </w:tr>
      <w:tr w:rsidR="00AD4464" w:rsidRPr="00AD4464" w:rsidTr="00AD4464">
        <w:trPr>
          <w:trHeight w:val="375"/>
        </w:trPr>
        <w:tc>
          <w:tcPr>
            <w:tcW w:w="5000" w:type="pct"/>
            <w:gridSpan w:val="16"/>
            <w:shd w:val="clear" w:color="000000" w:fill="D9E1F2"/>
            <w:noWrap/>
            <w:vAlign w:val="center"/>
            <w:hideMark/>
          </w:tcPr>
          <w:p w:rsidR="00AD4464" w:rsidRPr="00AD4464" w:rsidRDefault="00AD4464" w:rsidP="00AD4464">
            <w:pPr>
              <w:spacing w:after="0" w:line="240" w:lineRule="auto"/>
              <w:rPr>
                <w:rFonts w:ascii="Sylfaen" w:eastAsia="Times New Roman" w:hAnsi="Sylfaen" w:cs="Arial"/>
                <w:b/>
                <w:bCs/>
                <w:sz w:val="16"/>
                <w:szCs w:val="18"/>
              </w:rPr>
            </w:pPr>
            <w:r w:rsidRPr="00AD4464">
              <w:rPr>
                <w:rFonts w:ascii="Sylfaen" w:eastAsia="Times New Roman" w:hAnsi="Sylfaen" w:cs="Arial"/>
                <w:b/>
                <w:bCs/>
                <w:sz w:val="16"/>
                <w:szCs w:val="18"/>
              </w:rPr>
              <w:t>მოდიფიცირებული</w:t>
            </w:r>
            <w:r w:rsidRPr="00AD4464">
              <w:rPr>
                <w:rFonts w:ascii="Arial" w:eastAsia="Times New Roman" w:hAnsi="Arial" w:cs="Arial"/>
                <w:b/>
                <w:bCs/>
                <w:sz w:val="16"/>
                <w:szCs w:val="18"/>
              </w:rPr>
              <w:t xml:space="preserve"> </w:t>
            </w:r>
            <w:r w:rsidRPr="00AD4464">
              <w:rPr>
                <w:rFonts w:ascii="Sylfaen" w:eastAsia="Times New Roman" w:hAnsi="Sylfaen" w:cs="Arial"/>
                <w:b/>
                <w:bCs/>
                <w:sz w:val="16"/>
                <w:szCs w:val="18"/>
              </w:rPr>
              <w:t>დეფიციტი</w:t>
            </w:r>
            <w:r w:rsidRPr="00AD4464">
              <w:rPr>
                <w:rFonts w:ascii="Arial" w:eastAsia="Times New Roman" w:hAnsi="Arial" w:cs="Arial"/>
                <w:b/>
                <w:bCs/>
                <w:sz w:val="16"/>
                <w:szCs w:val="18"/>
              </w:rPr>
              <w:t xml:space="preserve"> (IMF </w:t>
            </w:r>
            <w:r w:rsidRPr="00AD4464">
              <w:rPr>
                <w:rFonts w:ascii="Sylfaen" w:eastAsia="Times New Roman" w:hAnsi="Sylfaen" w:cs="Arial"/>
                <w:b/>
                <w:bCs/>
                <w:sz w:val="16"/>
                <w:szCs w:val="18"/>
              </w:rPr>
              <w:t>პროგრამა</w:t>
            </w:r>
            <w:r w:rsidRPr="00AD4464">
              <w:rPr>
                <w:rFonts w:ascii="Arial" w:eastAsia="Times New Roman" w:hAnsi="Arial" w:cs="Arial"/>
                <w:sz w:val="16"/>
                <w:szCs w:val="18"/>
              </w:rPr>
              <w:t> </w:t>
            </w:r>
          </w:p>
        </w:tc>
      </w:tr>
      <w:tr w:rsidR="00AD4464" w:rsidRPr="00AD4464" w:rsidTr="00AD4464">
        <w:trPr>
          <w:trHeight w:val="37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2021-2024 (2020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-7,6%</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-4,4%</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-3,1%</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-2,6%</w:t>
            </w:r>
          </w:p>
        </w:tc>
        <w:tc>
          <w:tcPr>
            <w:tcW w:w="29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-7,9%</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-4,3%</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-3,1%</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-2,9%</w:t>
            </w:r>
          </w:p>
        </w:tc>
        <w:tc>
          <w:tcPr>
            <w:tcW w:w="335"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25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2022-2025 (2021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-6,7%</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-4,4%</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-2,7%</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-2,5%</w:t>
            </w:r>
          </w:p>
        </w:tc>
        <w:tc>
          <w:tcPr>
            <w:tcW w:w="291"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-6,6%</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-4,4%</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-2,9%</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-2,7%</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-2,5%</w:t>
            </w:r>
          </w:p>
        </w:tc>
        <w:tc>
          <w:tcPr>
            <w:tcW w:w="287"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315"/>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2023-2026 (2022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დეკემბერი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-6,1%</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-3,1%</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-2,3%</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-2,3%</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30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-2,1%</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-6,3%</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-3,0%</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-2,7%</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-2,3%</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-2,3%</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334" w:type="pct"/>
            <w:gridSpan w:val="2"/>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r>
      <w:tr w:rsidR="00AD4464" w:rsidRPr="00AD4464" w:rsidTr="00AD4464">
        <w:trPr>
          <w:trHeight w:val="330"/>
        </w:trPr>
        <w:tc>
          <w:tcPr>
            <w:tcW w:w="813" w:type="pct"/>
            <w:shd w:val="clear" w:color="auto" w:fill="auto"/>
            <w:vAlign w:val="center"/>
            <w:hideMark/>
          </w:tcPr>
          <w:p w:rsidR="00625504" w:rsidRPr="00AD4464" w:rsidRDefault="00625504" w:rsidP="00625504">
            <w:pPr>
              <w:spacing w:after="0" w:line="240" w:lineRule="auto"/>
              <w:rPr>
                <w:rFonts w:ascii="Arial" w:eastAsia="Times New Roman" w:hAnsi="Arial" w:cs="Arial"/>
                <w:sz w:val="16"/>
                <w:szCs w:val="18"/>
              </w:rPr>
            </w:pPr>
            <w:r w:rsidRPr="00AD4464">
              <w:rPr>
                <w:rFonts w:ascii="Arial" w:eastAsia="Times New Roman" w:hAnsi="Arial" w:cs="Arial"/>
                <w:sz w:val="16"/>
                <w:szCs w:val="18"/>
              </w:rPr>
              <w:t xml:space="preserve">2024-2027 (2023 </w:t>
            </w:r>
            <w:r w:rsidRPr="00AD4464">
              <w:rPr>
                <w:rFonts w:ascii="Sylfaen" w:eastAsia="Times New Roman" w:hAnsi="Sylfaen" w:cs="Sylfaen"/>
                <w:sz w:val="16"/>
                <w:szCs w:val="18"/>
              </w:rPr>
              <w:t>წლის</w:t>
            </w:r>
            <w:r w:rsidRPr="00AD4464">
              <w:rPr>
                <w:rFonts w:ascii="Arial" w:eastAsia="Times New Roman" w:hAnsi="Arial" w:cs="Arial"/>
                <w:sz w:val="16"/>
                <w:szCs w:val="18"/>
              </w:rPr>
              <w:t xml:space="preserve"> </w:t>
            </w:r>
            <w:r w:rsidRPr="00AD4464">
              <w:rPr>
                <w:rFonts w:ascii="Sylfaen" w:eastAsia="Times New Roman" w:hAnsi="Sylfaen" w:cs="Sylfaen"/>
                <w:sz w:val="16"/>
                <w:szCs w:val="18"/>
              </w:rPr>
              <w:t>ივლისი</w:t>
            </w:r>
            <w:r w:rsidRPr="00AD4464">
              <w:rPr>
                <w:rFonts w:ascii="Arial" w:eastAsia="Times New Roman" w:hAnsi="Arial" w:cs="Arial"/>
                <w:sz w:val="16"/>
                <w:szCs w:val="18"/>
              </w:rPr>
              <w:t>)</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-6,1%</w:t>
            </w:r>
          </w:p>
        </w:tc>
        <w:tc>
          <w:tcPr>
            <w:tcW w:w="28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-3,1%</w:t>
            </w:r>
          </w:p>
        </w:tc>
        <w:tc>
          <w:tcPr>
            <w:tcW w:w="286"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-2,8%</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-2,5%</w:t>
            </w:r>
          </w:p>
        </w:tc>
        <w:tc>
          <w:tcPr>
            <w:tcW w:w="292"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-2,3%</w:t>
            </w:r>
          </w:p>
        </w:tc>
        <w:tc>
          <w:tcPr>
            <w:tcW w:w="291"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302" w:type="pct"/>
            <w:shd w:val="clear" w:color="000000" w:fill="D9E1F2"/>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 </w:t>
            </w:r>
          </w:p>
        </w:tc>
        <w:tc>
          <w:tcPr>
            <w:tcW w:w="318"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-6,0%</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-2,6%</w:t>
            </w:r>
          </w:p>
        </w:tc>
        <w:tc>
          <w:tcPr>
            <w:tcW w:w="30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-2,7%</w:t>
            </w:r>
          </w:p>
        </w:tc>
        <w:tc>
          <w:tcPr>
            <w:tcW w:w="289"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-2,5%</w:t>
            </w:r>
          </w:p>
        </w:tc>
        <w:tc>
          <w:tcPr>
            <w:tcW w:w="335"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-2,3%</w:t>
            </w:r>
          </w:p>
        </w:tc>
        <w:tc>
          <w:tcPr>
            <w:tcW w:w="287" w:type="pct"/>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c>
          <w:tcPr>
            <w:tcW w:w="334" w:type="pct"/>
            <w:gridSpan w:val="2"/>
            <w:shd w:val="clear" w:color="auto" w:fill="auto"/>
            <w:noWrap/>
            <w:vAlign w:val="center"/>
            <w:hideMark/>
          </w:tcPr>
          <w:p w:rsidR="00625504" w:rsidRPr="00AD4464" w:rsidRDefault="00625504" w:rsidP="00625504">
            <w:pPr>
              <w:spacing w:after="0" w:line="240" w:lineRule="auto"/>
              <w:jc w:val="center"/>
              <w:rPr>
                <w:rFonts w:ascii="Arial" w:eastAsia="Times New Roman" w:hAnsi="Arial" w:cs="Arial"/>
                <w:sz w:val="16"/>
                <w:szCs w:val="18"/>
              </w:rPr>
            </w:pPr>
            <w:r w:rsidRPr="00AD4464">
              <w:rPr>
                <w:rFonts w:ascii="Arial" w:eastAsia="Times New Roman" w:hAnsi="Arial" w:cs="Arial"/>
                <w:sz w:val="16"/>
                <w:szCs w:val="18"/>
              </w:rPr>
              <w:t>-2,2%</w:t>
            </w:r>
          </w:p>
        </w:tc>
      </w:tr>
    </w:tbl>
    <w:p w:rsidR="008C666C" w:rsidRPr="008C666C" w:rsidRDefault="008C666C" w:rsidP="008C66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AD4464" w:rsidRDefault="00AD4464" w:rsidP="00E62DDE">
      <w:pPr>
        <w:pStyle w:val="Heading1"/>
        <w:numPr>
          <w:ilvl w:val="0"/>
          <w:numId w:val="1"/>
        </w:numPr>
        <w:spacing w:line="276" w:lineRule="auto"/>
        <w:rPr>
          <w:rFonts w:ascii="Sylfaen" w:hAnsi="Sylfaen" w:cs="Sylfaen"/>
          <w:b/>
          <w:sz w:val="28"/>
          <w:lang w:val="ka-GE"/>
        </w:rPr>
        <w:sectPr w:rsidR="00AD4464" w:rsidSect="00AD4464">
          <w:pgSz w:w="15840" w:h="12240" w:orient="landscape"/>
          <w:pgMar w:top="851" w:right="709" w:bottom="902" w:left="1134" w:header="720" w:footer="720" w:gutter="0"/>
          <w:pgNumType w:start="1"/>
          <w:cols w:space="720"/>
          <w:titlePg/>
          <w:docGrid w:linePitch="360"/>
        </w:sectPr>
      </w:pPr>
      <w:bookmarkStart w:id="5" w:name="_Toc89118363"/>
    </w:p>
    <w:p w:rsidR="00E62DDE" w:rsidRDefault="00E62DDE" w:rsidP="00E62DDE">
      <w:pPr>
        <w:pStyle w:val="Heading1"/>
        <w:numPr>
          <w:ilvl w:val="0"/>
          <w:numId w:val="1"/>
        </w:numPr>
        <w:spacing w:line="276" w:lineRule="auto"/>
        <w:rPr>
          <w:rFonts w:ascii="Sylfaen" w:hAnsi="Sylfaen"/>
          <w:b/>
          <w:sz w:val="28"/>
          <w:lang w:val="ka-GE"/>
        </w:rPr>
      </w:pPr>
      <w:r w:rsidRPr="006974FB">
        <w:rPr>
          <w:rFonts w:ascii="Sylfaen" w:hAnsi="Sylfaen" w:cs="Sylfaen"/>
          <w:b/>
          <w:sz w:val="28"/>
          <w:lang w:val="ka-GE"/>
        </w:rPr>
        <w:lastRenderedPageBreak/>
        <w:t>მთავრობის</w:t>
      </w:r>
      <w:r w:rsidRPr="006974FB">
        <w:rPr>
          <w:rFonts w:ascii="Sylfaen" w:hAnsi="Sylfaen"/>
          <w:b/>
          <w:sz w:val="28"/>
          <w:lang w:val="ka-GE"/>
        </w:rPr>
        <w:t xml:space="preserve"> ვალი</w:t>
      </w:r>
      <w:bookmarkEnd w:id="5"/>
    </w:p>
    <w:p w:rsidR="004146A8" w:rsidRDefault="004146A8" w:rsidP="004146A8">
      <w:pPr>
        <w:pStyle w:val="NoSpacing"/>
        <w:spacing w:line="276" w:lineRule="auto"/>
        <w:ind w:firstLine="720"/>
        <w:jc w:val="both"/>
        <w:rPr>
          <w:rFonts w:ascii="Sylfaen" w:hAnsi="Sylfaen"/>
          <w:lang w:val="ka-GE"/>
        </w:rPr>
      </w:pPr>
    </w:p>
    <w:tbl>
      <w:tblPr>
        <w:tblW w:w="5000" w:type="pct"/>
        <w:jc w:val="center"/>
        <w:tblLook w:val="04A0" w:firstRow="1" w:lastRow="0" w:firstColumn="1" w:lastColumn="0" w:noHBand="0" w:noVBand="1"/>
      </w:tblPr>
      <w:tblGrid>
        <w:gridCol w:w="4648"/>
        <w:gridCol w:w="840"/>
        <w:gridCol w:w="840"/>
        <w:gridCol w:w="840"/>
        <w:gridCol w:w="840"/>
        <w:gridCol w:w="839"/>
        <w:gridCol w:w="839"/>
        <w:gridCol w:w="781"/>
      </w:tblGrid>
      <w:tr w:rsidR="004146A8" w:rsidRPr="00DC4AA0" w:rsidTr="004146A8">
        <w:trPr>
          <w:trHeight w:val="577"/>
          <w:jc w:val="center"/>
        </w:trPr>
        <w:tc>
          <w:tcPr>
            <w:tcW w:w="2220"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4146A8" w:rsidRPr="00DC4AA0" w:rsidRDefault="004146A8" w:rsidP="004146A8">
            <w:pPr>
              <w:spacing w:after="0" w:line="240" w:lineRule="auto"/>
              <w:jc w:val="center"/>
              <w:rPr>
                <w:rFonts w:ascii="Sylfaen" w:eastAsia="Times New Roman" w:hAnsi="Sylfaen" w:cs="Arial"/>
                <w:b/>
                <w:bCs/>
                <w:color w:val="000000"/>
                <w:sz w:val="18"/>
                <w:szCs w:val="18"/>
              </w:rPr>
            </w:pPr>
            <w:r w:rsidRPr="00DC4AA0">
              <w:rPr>
                <w:rFonts w:ascii="Sylfaen" w:eastAsia="Times New Roman" w:hAnsi="Sylfaen" w:cs="Arial"/>
                <w:b/>
                <w:bCs/>
                <w:color w:val="000000"/>
                <w:sz w:val="18"/>
                <w:szCs w:val="18"/>
              </w:rPr>
              <w:t>მთავრობის ვალი (მლნ ლარი)</w:t>
            </w:r>
          </w:p>
        </w:tc>
        <w:tc>
          <w:tcPr>
            <w:tcW w:w="401" w:type="pct"/>
            <w:tcBorders>
              <w:top w:val="single" w:sz="8" w:space="0" w:color="A5A5A5"/>
              <w:left w:val="nil"/>
              <w:bottom w:val="single" w:sz="8" w:space="0" w:color="A5A5A5"/>
              <w:right w:val="single" w:sz="8" w:space="0" w:color="A5A5A5"/>
            </w:tcBorders>
            <w:shd w:val="clear" w:color="000000" w:fill="FFFFFF"/>
            <w:vAlign w:val="center"/>
            <w:hideMark/>
          </w:tcPr>
          <w:p w:rsidR="004146A8" w:rsidRPr="00DC4AA0" w:rsidRDefault="004146A8" w:rsidP="004146A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2021 </w:t>
            </w:r>
            <w:r w:rsidRPr="00DC4AA0">
              <w:rPr>
                <w:rFonts w:ascii="Sylfaen" w:eastAsia="Times New Roman" w:hAnsi="Sylfaen" w:cs="Arial"/>
                <w:b/>
                <w:bCs/>
                <w:color w:val="000000"/>
                <w:sz w:val="18"/>
                <w:szCs w:val="18"/>
              </w:rPr>
              <w:t>წელი</w:t>
            </w:r>
          </w:p>
        </w:tc>
        <w:tc>
          <w:tcPr>
            <w:tcW w:w="401" w:type="pct"/>
            <w:tcBorders>
              <w:top w:val="single" w:sz="8" w:space="0" w:color="A5A5A5"/>
              <w:left w:val="nil"/>
              <w:bottom w:val="single" w:sz="8" w:space="0" w:color="A5A5A5"/>
              <w:right w:val="single" w:sz="8" w:space="0" w:color="A5A5A5"/>
            </w:tcBorders>
            <w:shd w:val="clear" w:color="000000" w:fill="FFFFFF"/>
            <w:vAlign w:val="center"/>
            <w:hideMark/>
          </w:tcPr>
          <w:p w:rsidR="004146A8" w:rsidRPr="00F844D7" w:rsidRDefault="004146A8" w:rsidP="004146A8">
            <w:pPr>
              <w:spacing w:after="0" w:line="240" w:lineRule="auto"/>
              <w:jc w:val="center"/>
              <w:rPr>
                <w:rFonts w:ascii="Arial" w:eastAsia="Times New Roman" w:hAnsi="Arial" w:cs="Arial"/>
                <w:b/>
                <w:bCs/>
                <w:color w:val="000000"/>
                <w:sz w:val="18"/>
                <w:szCs w:val="18"/>
                <w:lang w:val="ka-GE"/>
              </w:rPr>
            </w:pPr>
            <w:r w:rsidRPr="00DC4AA0">
              <w:rPr>
                <w:rFonts w:ascii="Arial" w:eastAsia="Times New Roman" w:hAnsi="Arial" w:cs="Arial"/>
                <w:b/>
                <w:bCs/>
                <w:color w:val="000000"/>
                <w:sz w:val="18"/>
                <w:szCs w:val="18"/>
              </w:rPr>
              <w:t xml:space="preserve">2022 </w:t>
            </w:r>
            <w:r w:rsidRPr="00DC4AA0">
              <w:rPr>
                <w:rFonts w:ascii="Sylfaen" w:eastAsia="Times New Roman" w:hAnsi="Sylfaen" w:cs="Arial"/>
                <w:b/>
                <w:bCs/>
                <w:color w:val="000000"/>
                <w:sz w:val="18"/>
                <w:szCs w:val="18"/>
              </w:rPr>
              <w:t>წელი</w:t>
            </w:r>
          </w:p>
        </w:tc>
        <w:tc>
          <w:tcPr>
            <w:tcW w:w="401" w:type="pct"/>
            <w:tcBorders>
              <w:top w:val="single" w:sz="8" w:space="0" w:color="A5A5A5"/>
              <w:left w:val="nil"/>
              <w:bottom w:val="single" w:sz="8" w:space="0" w:color="A5A5A5"/>
              <w:right w:val="single" w:sz="8" w:space="0" w:color="A5A5A5"/>
            </w:tcBorders>
            <w:shd w:val="clear" w:color="000000" w:fill="FFFFFF"/>
            <w:vAlign w:val="center"/>
            <w:hideMark/>
          </w:tcPr>
          <w:p w:rsidR="004146A8" w:rsidRPr="00DC4AA0" w:rsidRDefault="004146A8" w:rsidP="004146A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2023 </w:t>
            </w:r>
            <w:r w:rsidRPr="00DC4AA0">
              <w:rPr>
                <w:rFonts w:ascii="Sylfaen" w:eastAsia="Times New Roman" w:hAnsi="Sylfaen" w:cs="Arial"/>
                <w:b/>
                <w:bCs/>
                <w:color w:val="000000"/>
                <w:sz w:val="18"/>
                <w:szCs w:val="18"/>
              </w:rPr>
              <w:t>წელი</w:t>
            </w:r>
          </w:p>
        </w:tc>
        <w:tc>
          <w:tcPr>
            <w:tcW w:w="401" w:type="pct"/>
            <w:tcBorders>
              <w:top w:val="single" w:sz="8" w:space="0" w:color="A5A5A5"/>
              <w:left w:val="nil"/>
              <w:bottom w:val="single" w:sz="8" w:space="0" w:color="A5A5A5"/>
              <w:right w:val="single" w:sz="8" w:space="0" w:color="A5A5A5"/>
            </w:tcBorders>
            <w:shd w:val="clear" w:color="000000" w:fill="FFFFFF"/>
            <w:vAlign w:val="center"/>
            <w:hideMark/>
          </w:tcPr>
          <w:p w:rsidR="004146A8" w:rsidRPr="00DC4AA0" w:rsidRDefault="004146A8" w:rsidP="004146A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2024 </w:t>
            </w:r>
            <w:r w:rsidRPr="00DC4AA0">
              <w:rPr>
                <w:rFonts w:ascii="Sylfaen" w:eastAsia="Times New Roman" w:hAnsi="Sylfaen" w:cs="Arial"/>
                <w:b/>
                <w:bCs/>
                <w:color w:val="000000"/>
                <w:sz w:val="18"/>
                <w:szCs w:val="18"/>
              </w:rPr>
              <w:t>წელი</w:t>
            </w:r>
          </w:p>
        </w:tc>
        <w:tc>
          <w:tcPr>
            <w:tcW w:w="401" w:type="pct"/>
            <w:tcBorders>
              <w:top w:val="single" w:sz="8" w:space="0" w:color="A5A5A5"/>
              <w:left w:val="nil"/>
              <w:bottom w:val="single" w:sz="8" w:space="0" w:color="A5A5A5"/>
              <w:right w:val="single" w:sz="8" w:space="0" w:color="A5A5A5"/>
            </w:tcBorders>
            <w:shd w:val="clear" w:color="000000" w:fill="FFFFFF"/>
            <w:vAlign w:val="center"/>
            <w:hideMark/>
          </w:tcPr>
          <w:p w:rsidR="004146A8" w:rsidRPr="00DC4AA0" w:rsidRDefault="004146A8" w:rsidP="004146A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2025 </w:t>
            </w:r>
            <w:r w:rsidRPr="00DC4AA0">
              <w:rPr>
                <w:rFonts w:ascii="Sylfaen" w:eastAsia="Times New Roman" w:hAnsi="Sylfaen" w:cs="Arial"/>
                <w:b/>
                <w:bCs/>
                <w:color w:val="000000"/>
                <w:sz w:val="18"/>
                <w:szCs w:val="18"/>
              </w:rPr>
              <w:t>წელი</w:t>
            </w:r>
          </w:p>
        </w:tc>
        <w:tc>
          <w:tcPr>
            <w:tcW w:w="401" w:type="pct"/>
            <w:tcBorders>
              <w:top w:val="single" w:sz="8" w:space="0" w:color="A5A5A5"/>
              <w:left w:val="nil"/>
              <w:bottom w:val="single" w:sz="8" w:space="0" w:color="A5A5A5"/>
              <w:right w:val="single" w:sz="8" w:space="0" w:color="A5A5A5"/>
            </w:tcBorders>
            <w:shd w:val="clear" w:color="000000" w:fill="FFFFFF"/>
          </w:tcPr>
          <w:p w:rsidR="004146A8" w:rsidRPr="00DC4AA0" w:rsidRDefault="004146A8" w:rsidP="004146A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2026 </w:t>
            </w:r>
            <w:r w:rsidRPr="00DC4AA0">
              <w:rPr>
                <w:rFonts w:ascii="Sylfaen" w:eastAsia="Times New Roman" w:hAnsi="Sylfaen" w:cs="Arial"/>
                <w:b/>
                <w:bCs/>
                <w:color w:val="000000"/>
                <w:sz w:val="18"/>
                <w:szCs w:val="18"/>
              </w:rPr>
              <w:t>წელი</w:t>
            </w:r>
          </w:p>
        </w:tc>
        <w:tc>
          <w:tcPr>
            <w:tcW w:w="373" w:type="pct"/>
            <w:tcBorders>
              <w:top w:val="single" w:sz="8" w:space="0" w:color="A5A5A5"/>
              <w:left w:val="nil"/>
              <w:bottom w:val="single" w:sz="8" w:space="0" w:color="A5A5A5"/>
              <w:right w:val="single" w:sz="8" w:space="0" w:color="A5A5A5"/>
            </w:tcBorders>
            <w:shd w:val="clear" w:color="000000" w:fill="FFFFFF"/>
          </w:tcPr>
          <w:p w:rsidR="004146A8" w:rsidRPr="00F844D7" w:rsidRDefault="004146A8" w:rsidP="004146A8">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2027 წელი</w:t>
            </w:r>
          </w:p>
        </w:tc>
      </w:tr>
      <w:tr w:rsidR="004146A8" w:rsidRPr="00DC4AA0" w:rsidTr="004146A8">
        <w:trPr>
          <w:trHeight w:val="303"/>
          <w:jc w:val="center"/>
        </w:trPr>
        <w:tc>
          <w:tcPr>
            <w:tcW w:w="2220" w:type="pct"/>
            <w:tcBorders>
              <w:top w:val="nil"/>
              <w:left w:val="single" w:sz="8" w:space="0" w:color="A5A5A5"/>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2022-2025 წლები (2021 წლის </w:t>
            </w:r>
            <w:r w:rsidRPr="00DC4AA0">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eastAsia="Times New Roman" w:cs="Arial"/>
                <w:sz w:val="18"/>
                <w:szCs w:val="18"/>
                <w:lang w:val="ka-GE"/>
              </w:rPr>
            </w:pPr>
            <w:r w:rsidRPr="00DC4AA0">
              <w:rPr>
                <w:rFonts w:ascii="Arial" w:eastAsia="Times New Roman" w:hAnsi="Arial" w:cs="Arial"/>
                <w:sz w:val="18"/>
                <w:szCs w:val="20"/>
              </w:rPr>
              <w:t>29,905</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33,123</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35,348</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37,413</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39,417</w:t>
            </w:r>
          </w:p>
        </w:tc>
        <w:tc>
          <w:tcPr>
            <w:tcW w:w="401" w:type="pct"/>
            <w:tcBorders>
              <w:top w:val="nil"/>
              <w:left w:val="nil"/>
              <w:bottom w:val="single" w:sz="8" w:space="0" w:color="A5A5A5"/>
              <w:right w:val="single" w:sz="8" w:space="0" w:color="A5A5A5"/>
            </w:tcBorders>
          </w:tcPr>
          <w:p w:rsidR="004146A8" w:rsidRPr="00DC4AA0" w:rsidRDefault="004146A8" w:rsidP="004146A8">
            <w:pPr>
              <w:spacing w:after="0" w:line="240" w:lineRule="auto"/>
              <w:jc w:val="center"/>
              <w:rPr>
                <w:rFonts w:ascii="Arial" w:eastAsia="Times New Roman" w:hAnsi="Arial" w:cs="Arial"/>
                <w:sz w:val="18"/>
                <w:szCs w:val="20"/>
              </w:rPr>
            </w:pPr>
          </w:p>
        </w:tc>
        <w:tc>
          <w:tcPr>
            <w:tcW w:w="373" w:type="pct"/>
            <w:tcBorders>
              <w:top w:val="nil"/>
              <w:left w:val="nil"/>
              <w:bottom w:val="single" w:sz="8" w:space="0" w:color="A5A5A5"/>
              <w:right w:val="single" w:sz="8" w:space="0" w:color="A5A5A5"/>
            </w:tcBorders>
          </w:tcPr>
          <w:p w:rsidR="004146A8" w:rsidRPr="00DC4AA0" w:rsidRDefault="004146A8" w:rsidP="004146A8">
            <w:pPr>
              <w:spacing w:after="0" w:line="240" w:lineRule="auto"/>
              <w:jc w:val="center"/>
              <w:rPr>
                <w:rFonts w:ascii="Arial" w:eastAsia="Times New Roman" w:hAnsi="Arial" w:cs="Arial"/>
                <w:sz w:val="18"/>
                <w:szCs w:val="20"/>
              </w:rPr>
            </w:pPr>
          </w:p>
        </w:tc>
      </w:tr>
      <w:tr w:rsidR="004146A8" w:rsidRPr="00DC4AA0" w:rsidTr="004146A8">
        <w:trPr>
          <w:trHeight w:val="303"/>
          <w:jc w:val="center"/>
        </w:trPr>
        <w:tc>
          <w:tcPr>
            <w:tcW w:w="2220" w:type="pct"/>
            <w:tcBorders>
              <w:top w:val="nil"/>
              <w:left w:val="single" w:sz="8" w:space="0" w:color="A5A5A5"/>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0</w:t>
            </w:r>
            <w:r w:rsidRPr="00DC4AA0">
              <w:rPr>
                <w:rFonts w:ascii="Arial" w:eastAsia="Times New Roman" w:hAnsi="Arial" w:cs="Arial"/>
                <w:i/>
                <w:color w:val="000000"/>
                <w:sz w:val="18"/>
                <w:szCs w:val="18"/>
                <w:lang w:val="ka-GE"/>
              </w:rPr>
              <w:t>.2%</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rPr>
              <w:t>49</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0</w:t>
            </w:r>
            <w:r w:rsidRPr="00DC4AA0">
              <w:rPr>
                <w:rFonts w:ascii="Arial" w:eastAsia="Times New Roman" w:hAnsi="Arial" w:cs="Arial"/>
                <w:i/>
                <w:color w:val="000000"/>
                <w:sz w:val="18"/>
                <w:szCs w:val="18"/>
                <w:lang w:val="ka-GE"/>
              </w:rPr>
              <w:t>%</w:t>
            </w:r>
          </w:p>
        </w:tc>
        <w:tc>
          <w:tcPr>
            <w:tcW w:w="401" w:type="pct"/>
            <w:tcBorders>
              <w:top w:val="nil"/>
              <w:left w:val="nil"/>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47.7%</w:t>
            </w:r>
          </w:p>
        </w:tc>
        <w:tc>
          <w:tcPr>
            <w:tcW w:w="401" w:type="pct"/>
            <w:tcBorders>
              <w:top w:val="nil"/>
              <w:left w:val="nil"/>
              <w:bottom w:val="single" w:sz="8" w:space="0" w:color="A5A5A5"/>
              <w:right w:val="single" w:sz="8" w:space="0" w:color="A5A5A5"/>
            </w:tcBorders>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p>
        </w:tc>
        <w:tc>
          <w:tcPr>
            <w:tcW w:w="373" w:type="pct"/>
            <w:tcBorders>
              <w:top w:val="nil"/>
              <w:left w:val="nil"/>
              <w:bottom w:val="single" w:sz="8" w:space="0" w:color="A5A5A5"/>
              <w:right w:val="single" w:sz="8" w:space="0" w:color="A5A5A5"/>
            </w:tcBorders>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p>
        </w:tc>
      </w:tr>
      <w:tr w:rsidR="004146A8" w:rsidRPr="00DC4AA0" w:rsidTr="004146A8">
        <w:trPr>
          <w:trHeight w:val="277"/>
          <w:jc w:val="center"/>
        </w:trPr>
        <w:tc>
          <w:tcPr>
            <w:tcW w:w="2220" w:type="pct"/>
            <w:tcBorders>
              <w:top w:val="nil"/>
              <w:left w:val="single" w:sz="8" w:space="0" w:color="A5A5A5"/>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2023-2026 წლები (2022 წლის </w:t>
            </w:r>
            <w:r>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29,812 </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28,609 </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30,539 </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32,679 </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34,799 </w:t>
            </w:r>
          </w:p>
        </w:tc>
        <w:tc>
          <w:tcPr>
            <w:tcW w:w="401" w:type="pct"/>
            <w:tcBorders>
              <w:top w:val="nil"/>
              <w:left w:val="nil"/>
              <w:bottom w:val="single" w:sz="8" w:space="0" w:color="A5A5A5"/>
              <w:right w:val="single" w:sz="8" w:space="0" w:color="A5A5A5"/>
            </w:tcBorders>
            <w:vAlign w:val="bottom"/>
          </w:tcPr>
          <w:p w:rsidR="004146A8" w:rsidRPr="00DC4AA0" w:rsidRDefault="004146A8" w:rsidP="004146A8">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36,819 </w:t>
            </w:r>
          </w:p>
        </w:tc>
        <w:tc>
          <w:tcPr>
            <w:tcW w:w="373" w:type="pct"/>
            <w:tcBorders>
              <w:top w:val="nil"/>
              <w:left w:val="nil"/>
              <w:bottom w:val="single" w:sz="8" w:space="0" w:color="A5A5A5"/>
              <w:right w:val="single" w:sz="8" w:space="0" w:color="A5A5A5"/>
            </w:tcBorders>
          </w:tcPr>
          <w:p w:rsidR="004146A8" w:rsidRPr="00DC4AA0" w:rsidRDefault="004146A8" w:rsidP="004146A8">
            <w:pPr>
              <w:spacing w:after="0" w:line="240" w:lineRule="auto"/>
              <w:rPr>
                <w:rFonts w:ascii="Arial" w:eastAsia="Times New Roman" w:hAnsi="Arial" w:cs="Arial"/>
                <w:sz w:val="18"/>
                <w:szCs w:val="20"/>
              </w:rPr>
            </w:pPr>
          </w:p>
        </w:tc>
      </w:tr>
      <w:tr w:rsidR="004146A8" w:rsidRPr="00DC4AA0" w:rsidTr="004146A8">
        <w:trPr>
          <w:trHeight w:val="277"/>
          <w:jc w:val="center"/>
        </w:trPr>
        <w:tc>
          <w:tcPr>
            <w:tcW w:w="2220" w:type="pct"/>
            <w:tcBorders>
              <w:top w:val="nil"/>
              <w:left w:val="single" w:sz="8" w:space="0" w:color="A5A5A5"/>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49.7%</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39.6%</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38.3%</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37.8%</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37.2%</w:t>
            </w:r>
          </w:p>
        </w:tc>
        <w:tc>
          <w:tcPr>
            <w:tcW w:w="401" w:type="pct"/>
            <w:tcBorders>
              <w:top w:val="nil"/>
              <w:left w:val="nil"/>
              <w:bottom w:val="single" w:sz="8" w:space="0" w:color="A5A5A5"/>
              <w:right w:val="single" w:sz="8" w:space="0" w:color="A5A5A5"/>
            </w:tcBorders>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36.4%</w:t>
            </w:r>
          </w:p>
        </w:tc>
        <w:tc>
          <w:tcPr>
            <w:tcW w:w="373" w:type="pct"/>
            <w:tcBorders>
              <w:top w:val="nil"/>
              <w:left w:val="nil"/>
              <w:bottom w:val="single" w:sz="8" w:space="0" w:color="A5A5A5"/>
              <w:right w:val="single" w:sz="8" w:space="0" w:color="A5A5A5"/>
            </w:tcBorders>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p>
        </w:tc>
      </w:tr>
      <w:tr w:rsidR="004146A8" w:rsidRPr="00DC4AA0" w:rsidTr="004146A8">
        <w:trPr>
          <w:trHeight w:val="277"/>
          <w:jc w:val="center"/>
        </w:trPr>
        <w:tc>
          <w:tcPr>
            <w:tcW w:w="2220" w:type="pct"/>
            <w:tcBorders>
              <w:top w:val="nil"/>
              <w:left w:val="single" w:sz="8" w:space="0" w:color="A5A5A5"/>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jc w:val="both"/>
              <w:rPr>
                <w:rFonts w:ascii="Sylfaen" w:eastAsia="Times New Roman" w:hAnsi="Sylfaen" w:cs="Arial"/>
                <w:color w:val="000000"/>
                <w:sz w:val="18"/>
                <w:szCs w:val="18"/>
              </w:rPr>
            </w:pPr>
            <w:r>
              <w:rPr>
                <w:rFonts w:ascii="Sylfaen" w:eastAsia="Times New Roman" w:hAnsi="Sylfaen" w:cs="Arial"/>
                <w:color w:val="000000"/>
                <w:sz w:val="18"/>
                <w:szCs w:val="18"/>
              </w:rPr>
              <w:t>2024</w:t>
            </w:r>
            <w:r w:rsidRPr="00DC4AA0">
              <w:rPr>
                <w:rFonts w:ascii="Sylfaen" w:eastAsia="Times New Roman" w:hAnsi="Sylfaen" w:cs="Arial"/>
                <w:color w:val="000000"/>
                <w:sz w:val="18"/>
                <w:szCs w:val="18"/>
              </w:rPr>
              <w:t>-202</w:t>
            </w:r>
            <w:r>
              <w:rPr>
                <w:rFonts w:ascii="Sylfaen" w:eastAsia="Times New Roman" w:hAnsi="Sylfaen" w:cs="Arial"/>
                <w:color w:val="000000"/>
                <w:sz w:val="18"/>
                <w:szCs w:val="18"/>
                <w:lang w:val="ka-GE"/>
              </w:rPr>
              <w:t>7</w:t>
            </w:r>
            <w:r w:rsidRPr="00DC4AA0">
              <w:rPr>
                <w:rFonts w:ascii="Sylfaen" w:eastAsia="Times New Roman" w:hAnsi="Sylfaen" w:cs="Arial"/>
                <w:color w:val="000000"/>
                <w:sz w:val="18"/>
                <w:szCs w:val="18"/>
              </w:rPr>
              <w:t xml:space="preserve"> წლები (202</w:t>
            </w:r>
            <w:r>
              <w:rPr>
                <w:rFonts w:ascii="Sylfaen" w:eastAsia="Times New Roman" w:hAnsi="Sylfaen" w:cs="Arial"/>
                <w:color w:val="000000"/>
                <w:sz w:val="18"/>
                <w:szCs w:val="18"/>
                <w:lang w:val="ka-GE"/>
              </w:rPr>
              <w:t>3</w:t>
            </w:r>
            <w:r w:rsidRPr="00DC4AA0">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ივლისი</w:t>
            </w:r>
            <w:r w:rsidRPr="00DC4AA0">
              <w:rPr>
                <w:rFonts w:ascii="Sylfaen" w:eastAsia="Times New Roman" w:hAnsi="Sylfaen" w:cs="Arial"/>
                <w:color w:val="000000"/>
                <w:sz w:val="18"/>
                <w:szCs w:val="18"/>
              </w:rPr>
              <w:t>)</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97160E">
              <w:rPr>
                <w:rFonts w:ascii="Arial" w:eastAsia="Times New Roman" w:hAnsi="Arial" w:cs="Arial"/>
                <w:sz w:val="18"/>
                <w:szCs w:val="20"/>
              </w:rPr>
              <w:t>29,812</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97160E">
              <w:rPr>
                <w:rFonts w:ascii="Arial" w:eastAsia="Times New Roman" w:hAnsi="Arial" w:cs="Arial"/>
                <w:sz w:val="18"/>
                <w:szCs w:val="20"/>
              </w:rPr>
              <w:t>28,538</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97160E">
              <w:rPr>
                <w:rFonts w:ascii="Arial" w:eastAsia="Times New Roman" w:hAnsi="Arial" w:cs="Arial"/>
                <w:sz w:val="18"/>
                <w:szCs w:val="20"/>
              </w:rPr>
              <w:t>30,186</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97160E">
              <w:rPr>
                <w:rFonts w:ascii="Arial" w:eastAsia="Times New Roman" w:hAnsi="Arial" w:cs="Arial"/>
                <w:sz w:val="18"/>
                <w:szCs w:val="20"/>
              </w:rPr>
              <w:t>32,658</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rPr>
                <w:rFonts w:ascii="Arial" w:eastAsia="Times New Roman" w:hAnsi="Arial" w:cs="Arial"/>
                <w:sz w:val="18"/>
                <w:szCs w:val="20"/>
              </w:rPr>
            </w:pPr>
            <w:r w:rsidRPr="0097160E">
              <w:rPr>
                <w:rFonts w:ascii="Arial" w:eastAsia="Times New Roman" w:hAnsi="Arial" w:cs="Arial"/>
                <w:sz w:val="18"/>
                <w:szCs w:val="20"/>
              </w:rPr>
              <w:t>35,174</w:t>
            </w:r>
          </w:p>
        </w:tc>
        <w:tc>
          <w:tcPr>
            <w:tcW w:w="401" w:type="pct"/>
            <w:tcBorders>
              <w:top w:val="nil"/>
              <w:left w:val="nil"/>
              <w:bottom w:val="single" w:sz="8" w:space="0" w:color="A5A5A5"/>
              <w:right w:val="single" w:sz="8" w:space="0" w:color="A5A5A5"/>
            </w:tcBorders>
            <w:vAlign w:val="bottom"/>
          </w:tcPr>
          <w:p w:rsidR="004146A8" w:rsidRPr="00DC4AA0" w:rsidRDefault="004146A8" w:rsidP="004146A8">
            <w:pPr>
              <w:spacing w:after="0" w:line="240" w:lineRule="auto"/>
              <w:rPr>
                <w:rFonts w:ascii="Arial" w:eastAsia="Times New Roman" w:hAnsi="Arial" w:cs="Arial"/>
                <w:sz w:val="18"/>
                <w:szCs w:val="20"/>
              </w:rPr>
            </w:pPr>
            <w:r w:rsidRPr="0097160E">
              <w:rPr>
                <w:rFonts w:ascii="Arial" w:eastAsia="Times New Roman" w:hAnsi="Arial" w:cs="Arial"/>
                <w:sz w:val="18"/>
                <w:szCs w:val="20"/>
              </w:rPr>
              <w:t>37,692</w:t>
            </w:r>
          </w:p>
        </w:tc>
        <w:tc>
          <w:tcPr>
            <w:tcW w:w="373" w:type="pct"/>
            <w:tcBorders>
              <w:top w:val="nil"/>
              <w:left w:val="nil"/>
              <w:bottom w:val="single" w:sz="8" w:space="0" w:color="A5A5A5"/>
              <w:right w:val="single" w:sz="8" w:space="0" w:color="A5A5A5"/>
            </w:tcBorders>
          </w:tcPr>
          <w:p w:rsidR="004146A8" w:rsidRPr="00DC4AA0" w:rsidRDefault="004146A8" w:rsidP="004146A8">
            <w:pPr>
              <w:spacing w:after="0" w:line="240" w:lineRule="auto"/>
              <w:rPr>
                <w:rFonts w:ascii="Arial" w:eastAsia="Times New Roman" w:hAnsi="Arial" w:cs="Arial"/>
                <w:sz w:val="18"/>
                <w:szCs w:val="20"/>
              </w:rPr>
            </w:pPr>
            <w:r w:rsidRPr="0097160E">
              <w:rPr>
                <w:rFonts w:ascii="Arial" w:eastAsia="Times New Roman" w:hAnsi="Arial" w:cs="Arial"/>
                <w:sz w:val="18"/>
                <w:szCs w:val="20"/>
              </w:rPr>
              <w:t>40,215</w:t>
            </w:r>
          </w:p>
        </w:tc>
      </w:tr>
      <w:tr w:rsidR="004146A8" w:rsidRPr="00DC4AA0" w:rsidTr="004146A8">
        <w:trPr>
          <w:trHeight w:val="303"/>
          <w:jc w:val="center"/>
        </w:trPr>
        <w:tc>
          <w:tcPr>
            <w:tcW w:w="2220" w:type="pct"/>
            <w:tcBorders>
              <w:top w:val="nil"/>
              <w:left w:val="single" w:sz="8" w:space="0" w:color="A5A5A5"/>
              <w:bottom w:val="single" w:sz="8" w:space="0" w:color="A5A5A5"/>
              <w:right w:val="single" w:sz="8" w:space="0" w:color="A5A5A5"/>
            </w:tcBorders>
            <w:shd w:val="clear" w:color="auto" w:fill="auto"/>
            <w:vAlign w:val="center"/>
          </w:tcPr>
          <w:p w:rsidR="004146A8" w:rsidRPr="00DC4AA0" w:rsidRDefault="004146A8" w:rsidP="004146A8">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49.7%</w:t>
            </w:r>
          </w:p>
        </w:tc>
        <w:tc>
          <w:tcPr>
            <w:tcW w:w="401" w:type="pct"/>
            <w:tcBorders>
              <w:top w:val="nil"/>
              <w:left w:val="nil"/>
              <w:bottom w:val="single" w:sz="8" w:space="0" w:color="A5A5A5"/>
              <w:right w:val="single" w:sz="8" w:space="0" w:color="A5A5A5"/>
            </w:tcBorders>
            <w:shd w:val="clear" w:color="auto" w:fill="auto"/>
            <w:vAlign w:val="bottom"/>
          </w:tcPr>
          <w:p w:rsidR="004146A8" w:rsidRPr="00BB52EE" w:rsidRDefault="004146A8" w:rsidP="004146A8">
            <w:pPr>
              <w:spacing w:after="0" w:line="240" w:lineRule="auto"/>
              <w:jc w:val="center"/>
              <w:rPr>
                <w:rFonts w:ascii="Sylfaen" w:eastAsia="Times New Roman" w:hAnsi="Sylfaen" w:cs="Arial"/>
                <w:i/>
                <w:color w:val="000000"/>
                <w:sz w:val="18"/>
                <w:szCs w:val="18"/>
                <w:lang w:val="ka-GE"/>
              </w:rPr>
            </w:pPr>
            <w:r>
              <w:rPr>
                <w:rFonts w:ascii="Sylfaen" w:eastAsia="Times New Roman" w:hAnsi="Sylfaen" w:cs="Arial"/>
                <w:i/>
                <w:color w:val="000000"/>
                <w:sz w:val="18"/>
                <w:szCs w:val="18"/>
                <w:lang w:val="ka-GE"/>
              </w:rPr>
              <w:t>39.8%</w:t>
            </w:r>
          </w:p>
        </w:tc>
        <w:tc>
          <w:tcPr>
            <w:tcW w:w="401" w:type="pct"/>
            <w:tcBorders>
              <w:top w:val="nil"/>
              <w:left w:val="nil"/>
              <w:bottom w:val="single" w:sz="8" w:space="0" w:color="A5A5A5"/>
              <w:right w:val="single" w:sz="8" w:space="0" w:color="A5A5A5"/>
            </w:tcBorders>
            <w:shd w:val="clear" w:color="auto" w:fill="auto"/>
            <w:vAlign w:val="bottom"/>
          </w:tcPr>
          <w:p w:rsidR="004146A8" w:rsidRPr="00BB52EE" w:rsidRDefault="004146A8" w:rsidP="004146A8">
            <w:pPr>
              <w:spacing w:after="0" w:line="240" w:lineRule="auto"/>
              <w:jc w:val="center"/>
              <w:rPr>
                <w:rFonts w:ascii="Sylfaen" w:eastAsia="Times New Roman" w:hAnsi="Sylfaen" w:cs="Arial"/>
                <w:i/>
                <w:color w:val="000000"/>
                <w:sz w:val="18"/>
                <w:szCs w:val="18"/>
                <w:lang w:val="ka-GE"/>
              </w:rPr>
            </w:pPr>
            <w:r>
              <w:rPr>
                <w:rFonts w:ascii="Sylfaen" w:eastAsia="Times New Roman" w:hAnsi="Sylfaen" w:cs="Arial"/>
                <w:i/>
                <w:color w:val="000000"/>
                <w:sz w:val="18"/>
                <w:szCs w:val="18"/>
                <w:lang w:val="ka-GE"/>
              </w:rPr>
              <w:t>38.6%</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Pr>
                <w:rFonts w:ascii="Sylfaen" w:eastAsia="Times New Roman" w:hAnsi="Sylfaen" w:cs="Arial"/>
                <w:i/>
                <w:color w:val="000000"/>
                <w:sz w:val="18"/>
                <w:szCs w:val="18"/>
                <w:lang w:val="ka-GE"/>
              </w:rPr>
              <w:t>38.6%</w:t>
            </w:r>
          </w:p>
        </w:tc>
        <w:tc>
          <w:tcPr>
            <w:tcW w:w="401" w:type="pct"/>
            <w:tcBorders>
              <w:top w:val="nil"/>
              <w:left w:val="nil"/>
              <w:bottom w:val="single" w:sz="8" w:space="0" w:color="A5A5A5"/>
              <w:right w:val="single" w:sz="8" w:space="0" w:color="A5A5A5"/>
            </w:tcBorders>
            <w:shd w:val="clear" w:color="auto" w:fill="auto"/>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Pr>
                <w:rFonts w:ascii="Sylfaen" w:eastAsia="Times New Roman" w:hAnsi="Sylfaen" w:cs="Arial"/>
                <w:i/>
                <w:color w:val="000000"/>
                <w:sz w:val="18"/>
                <w:szCs w:val="18"/>
                <w:lang w:val="ka-GE"/>
              </w:rPr>
              <w:t>38.4%</w:t>
            </w:r>
          </w:p>
        </w:tc>
        <w:tc>
          <w:tcPr>
            <w:tcW w:w="401" w:type="pct"/>
            <w:tcBorders>
              <w:top w:val="nil"/>
              <w:left w:val="nil"/>
              <w:bottom w:val="single" w:sz="8" w:space="0" w:color="A5A5A5"/>
              <w:right w:val="single" w:sz="8" w:space="0" w:color="A5A5A5"/>
            </w:tcBorders>
            <w:vAlign w:val="bottom"/>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Pr>
                <w:rFonts w:ascii="Sylfaen" w:eastAsia="Times New Roman" w:hAnsi="Sylfaen" w:cs="Arial"/>
                <w:i/>
                <w:color w:val="000000"/>
                <w:sz w:val="18"/>
                <w:szCs w:val="18"/>
                <w:lang w:val="ka-GE"/>
              </w:rPr>
              <w:t>38.1%</w:t>
            </w:r>
          </w:p>
        </w:tc>
        <w:tc>
          <w:tcPr>
            <w:tcW w:w="373" w:type="pct"/>
            <w:tcBorders>
              <w:top w:val="nil"/>
              <w:left w:val="nil"/>
              <w:bottom w:val="single" w:sz="8" w:space="0" w:color="A5A5A5"/>
              <w:right w:val="single" w:sz="8" w:space="0" w:color="A5A5A5"/>
            </w:tcBorders>
          </w:tcPr>
          <w:p w:rsidR="004146A8" w:rsidRPr="00DC4AA0" w:rsidRDefault="004146A8" w:rsidP="004146A8">
            <w:pPr>
              <w:spacing w:after="0" w:line="240" w:lineRule="auto"/>
              <w:jc w:val="center"/>
              <w:rPr>
                <w:rFonts w:ascii="Arial" w:eastAsia="Times New Roman" w:hAnsi="Arial" w:cs="Arial"/>
                <w:i/>
                <w:color w:val="000000"/>
                <w:sz w:val="18"/>
                <w:szCs w:val="18"/>
                <w:lang w:val="ka-GE"/>
              </w:rPr>
            </w:pPr>
            <w:r>
              <w:rPr>
                <w:rFonts w:ascii="Sylfaen" w:eastAsia="Times New Roman" w:hAnsi="Sylfaen" w:cs="Arial"/>
                <w:i/>
                <w:color w:val="000000"/>
                <w:sz w:val="18"/>
                <w:szCs w:val="18"/>
                <w:lang w:val="ka-GE"/>
              </w:rPr>
              <w:t>37.6%</w:t>
            </w:r>
          </w:p>
        </w:tc>
      </w:tr>
    </w:tbl>
    <w:p w:rsidR="004146A8" w:rsidRDefault="004146A8" w:rsidP="004146A8">
      <w:pPr>
        <w:pStyle w:val="NoSpacing"/>
        <w:spacing w:line="276" w:lineRule="auto"/>
        <w:ind w:firstLine="720"/>
        <w:jc w:val="both"/>
        <w:rPr>
          <w:rFonts w:ascii="Sylfaen" w:hAnsi="Sylfaen"/>
          <w:lang w:val="ka-GE"/>
        </w:rPr>
      </w:pPr>
    </w:p>
    <w:p w:rsidR="004146A8" w:rsidRDefault="004146A8" w:rsidP="004146A8">
      <w:pPr>
        <w:pStyle w:val="NoSpacing"/>
        <w:spacing w:line="276" w:lineRule="auto"/>
        <w:ind w:firstLine="720"/>
        <w:jc w:val="both"/>
        <w:rPr>
          <w:rFonts w:ascii="Sylfaen" w:hAnsi="Sylfaen"/>
          <w:lang w:val="ka-GE"/>
        </w:rPr>
      </w:pPr>
    </w:p>
    <w:p w:rsidR="004146A8" w:rsidRPr="00DC4AA0" w:rsidRDefault="004146A8" w:rsidP="004146A8">
      <w:pPr>
        <w:pStyle w:val="NoSpacing"/>
        <w:spacing w:line="276" w:lineRule="auto"/>
        <w:ind w:firstLine="720"/>
        <w:jc w:val="both"/>
        <w:rPr>
          <w:rFonts w:ascii="Sylfaen" w:hAnsi="Sylfaen"/>
        </w:rPr>
      </w:pPr>
      <w:r w:rsidRPr="00DC4AA0">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202</w:t>
      </w:r>
      <w:r>
        <w:rPr>
          <w:rFonts w:ascii="Sylfaen" w:hAnsi="Sylfaen"/>
          <w:lang w:val="ka-GE"/>
        </w:rPr>
        <w:t>3</w:t>
      </w:r>
      <w:r w:rsidRPr="00DC4AA0">
        <w:rPr>
          <w:rFonts w:ascii="Sylfaen" w:hAnsi="Sylfaen"/>
          <w:lang w:val="ka-GE"/>
        </w:rPr>
        <w:t xml:space="preserve"> წლის რეალური ეკონომიკის</w:t>
      </w:r>
      <w:r>
        <w:rPr>
          <w:rFonts w:ascii="Sylfaen" w:hAnsi="Sylfaen"/>
          <w:lang w:val="ka-GE"/>
        </w:rPr>
        <w:t xml:space="preserve"> ზრდის პროგნოზის</w:t>
      </w:r>
      <w:r w:rsidRPr="00DC4AA0">
        <w:rPr>
          <w:rFonts w:ascii="Sylfaen" w:hAnsi="Sylfaen"/>
          <w:lang w:val="ka-GE"/>
        </w:rPr>
        <w:t xml:space="preserve"> და მშპ დეფლატორის </w:t>
      </w:r>
      <w:r>
        <w:rPr>
          <w:rFonts w:ascii="Sylfaen" w:hAnsi="Sylfaen"/>
          <w:lang w:val="ka-GE"/>
        </w:rPr>
        <w:t>პროგნოზების ცვლილების გამო</w:t>
      </w:r>
      <w:r w:rsidRPr="00DC4AA0">
        <w:rPr>
          <w:rFonts w:ascii="Sylfaen" w:hAnsi="Sylfaen"/>
          <w:lang w:val="ka-GE"/>
        </w:rPr>
        <w:t>. 202</w:t>
      </w:r>
      <w:r>
        <w:rPr>
          <w:rFonts w:ascii="Sylfaen" w:hAnsi="Sylfaen"/>
        </w:rPr>
        <w:t>3</w:t>
      </w:r>
      <w:r w:rsidRPr="00DC4AA0">
        <w:rPr>
          <w:rFonts w:ascii="Sylfaen" w:hAnsi="Sylfaen"/>
          <w:lang w:val="ka-GE"/>
        </w:rPr>
        <w:t xml:space="preserve"> წლის ბოლოს მდგომარეობით ეკონომიკის რეალური ზრდა მოსალოდნელია </w:t>
      </w:r>
      <w:r>
        <w:rPr>
          <w:rFonts w:ascii="Sylfaen" w:hAnsi="Sylfaen"/>
        </w:rPr>
        <w:t>5.4</w:t>
      </w:r>
      <w:r w:rsidRPr="00DC4AA0">
        <w:rPr>
          <w:rFonts w:ascii="Sylfaen" w:hAnsi="Sylfaen"/>
          <w:lang w:val="ka-GE"/>
        </w:rPr>
        <w:t xml:space="preserve">%-ის ნიშნულზე და მშპ დეფლატორის ზრდა </w:t>
      </w:r>
      <w:r>
        <w:rPr>
          <w:rFonts w:ascii="Sylfaen" w:hAnsi="Sylfaen"/>
        </w:rPr>
        <w:t>3.3</w:t>
      </w:r>
      <w:r w:rsidRPr="00DC4AA0">
        <w:rPr>
          <w:rFonts w:ascii="Sylfaen" w:hAnsi="Sylfaen"/>
          <w:lang w:val="ka-GE"/>
        </w:rPr>
        <w:t xml:space="preserve">%-ის დონეზე, </w:t>
      </w:r>
      <w:r>
        <w:rPr>
          <w:rFonts w:ascii="Sylfaen" w:hAnsi="Sylfaen"/>
          <w:lang w:val="ka-GE"/>
        </w:rPr>
        <w:t>რაც</w:t>
      </w:r>
      <w:r w:rsidRPr="00DC4AA0">
        <w:rPr>
          <w:rFonts w:ascii="Sylfaen" w:hAnsi="Sylfaen"/>
          <w:lang w:val="ka-GE"/>
        </w:rPr>
        <w:t xml:space="preserve"> </w:t>
      </w:r>
      <w:r>
        <w:rPr>
          <w:rFonts w:ascii="Sylfaen" w:hAnsi="Sylfaen"/>
          <w:lang w:val="ka-GE"/>
        </w:rPr>
        <w:t>ნაკლებია</w:t>
      </w:r>
      <w:r w:rsidRPr="00DC4AA0">
        <w:rPr>
          <w:rFonts w:ascii="Sylfaen" w:hAnsi="Sylfaen"/>
          <w:lang w:val="ka-GE"/>
        </w:rPr>
        <w:t xml:space="preserve"> გასულ</w:t>
      </w:r>
      <w:r>
        <w:rPr>
          <w:rFonts w:ascii="Sylfaen" w:hAnsi="Sylfaen"/>
          <w:lang w:val="ka-GE"/>
        </w:rPr>
        <w:t>ი</w:t>
      </w:r>
      <w:r w:rsidRPr="00DC4AA0">
        <w:rPr>
          <w:rFonts w:ascii="Sylfaen" w:hAnsi="Sylfaen"/>
          <w:lang w:val="ka-GE"/>
        </w:rPr>
        <w:t xml:space="preserve"> წლ</w:t>
      </w:r>
      <w:r>
        <w:rPr>
          <w:rFonts w:ascii="Sylfaen" w:hAnsi="Sylfaen"/>
          <w:lang w:val="ka-GE"/>
        </w:rPr>
        <w:t>ი</w:t>
      </w:r>
      <w:r w:rsidRPr="00DC4AA0">
        <w:rPr>
          <w:rFonts w:ascii="Sylfaen" w:hAnsi="Sylfaen"/>
          <w:lang w:val="ka-GE"/>
        </w:rPr>
        <w:t>ს  პროგნოზ</w:t>
      </w:r>
      <w:r>
        <w:rPr>
          <w:rFonts w:ascii="Sylfaen" w:hAnsi="Sylfaen"/>
          <w:lang w:val="ka-GE"/>
        </w:rPr>
        <w:t>ებზე</w:t>
      </w:r>
      <w:r w:rsidRPr="00DC4AA0">
        <w:rPr>
          <w:rFonts w:ascii="Sylfaen" w:hAnsi="Sylfaen"/>
          <w:lang w:val="ka-GE"/>
        </w:rPr>
        <w:t>. 202</w:t>
      </w:r>
      <w:r>
        <w:rPr>
          <w:rFonts w:ascii="Sylfaen" w:hAnsi="Sylfaen"/>
          <w:lang w:val="ka-GE"/>
        </w:rPr>
        <w:t>3</w:t>
      </w:r>
      <w:r w:rsidRPr="00DC4AA0">
        <w:rPr>
          <w:rFonts w:ascii="Sylfaen" w:hAnsi="Sylfaen"/>
          <w:lang w:val="ka-GE"/>
        </w:rPr>
        <w:t xml:space="preserve"> წლის ბოლოს ვალის მშპ-თან ფარდობის შემცირება მოსალოდნელია 3</w:t>
      </w:r>
      <w:r>
        <w:rPr>
          <w:rFonts w:ascii="Sylfaen" w:hAnsi="Sylfaen"/>
          <w:lang w:val="ka-GE"/>
        </w:rPr>
        <w:t>8</w:t>
      </w:r>
      <w:r w:rsidRPr="00DC4AA0">
        <w:rPr>
          <w:rFonts w:ascii="Sylfaen" w:hAnsi="Sylfaen"/>
          <w:lang w:val="ka-GE"/>
        </w:rPr>
        <w:t xml:space="preserve">.6%-მდე. ვალის მშპ-თან ფარდობის შემცირება პროგნოზირებულია შემდეგ წლებშიც, </w:t>
      </w:r>
      <w:r>
        <w:rPr>
          <w:rFonts w:ascii="Sylfaen" w:hAnsi="Sylfaen"/>
          <w:lang w:val="ka-GE"/>
        </w:rPr>
        <w:t xml:space="preserve">ხოლო </w:t>
      </w:r>
      <w:r w:rsidRPr="00DC4AA0">
        <w:rPr>
          <w:rFonts w:ascii="Sylfaen" w:hAnsi="Sylfaen"/>
          <w:lang w:val="ka-GE"/>
        </w:rPr>
        <w:t>202</w:t>
      </w:r>
      <w:r>
        <w:rPr>
          <w:rFonts w:ascii="Sylfaen" w:hAnsi="Sylfaen"/>
          <w:lang w:val="ka-GE"/>
        </w:rPr>
        <w:t>7</w:t>
      </w:r>
      <w:r w:rsidRPr="00DC4AA0">
        <w:rPr>
          <w:rFonts w:ascii="Sylfaen" w:hAnsi="Sylfaen"/>
          <w:lang w:val="ka-GE"/>
        </w:rPr>
        <w:t xml:space="preserve"> წლის ბოლოს აღნიშნული მაჩვენებელი ჩამოვა 3</w:t>
      </w:r>
      <w:r>
        <w:rPr>
          <w:rFonts w:ascii="Sylfaen" w:hAnsi="Sylfaen"/>
          <w:lang w:val="ka-GE"/>
        </w:rPr>
        <w:t>7</w:t>
      </w:r>
      <w:r w:rsidRPr="00DC4AA0">
        <w:rPr>
          <w:rFonts w:ascii="Sylfaen" w:hAnsi="Sylfaen"/>
          <w:lang w:val="ka-GE"/>
        </w:rPr>
        <w:t>.</w:t>
      </w:r>
      <w:r>
        <w:rPr>
          <w:rFonts w:ascii="Sylfaen" w:hAnsi="Sylfaen"/>
          <w:lang w:val="ka-GE"/>
        </w:rPr>
        <w:t>6</w:t>
      </w:r>
      <w:r w:rsidRPr="00DC4AA0">
        <w:rPr>
          <w:rFonts w:ascii="Sylfaen" w:hAnsi="Sylfaen"/>
          <w:lang w:val="ka-GE"/>
        </w:rPr>
        <w:t>%-მდე.</w:t>
      </w:r>
    </w:p>
    <w:p w:rsidR="004146A8" w:rsidRPr="00307164" w:rsidRDefault="004146A8" w:rsidP="004146A8">
      <w:pPr>
        <w:pStyle w:val="NoSpacing"/>
        <w:spacing w:line="276" w:lineRule="auto"/>
        <w:ind w:firstLine="720"/>
        <w:jc w:val="both"/>
        <w:rPr>
          <w:rFonts w:ascii="Sylfaen" w:hAnsi="Sylfaen"/>
          <w:b/>
        </w:rPr>
      </w:pPr>
      <w:r w:rsidRPr="00DC4AA0">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lang w:val="ka-GE"/>
        </w:rPr>
        <w:t>2</w:t>
      </w:r>
      <w:r w:rsidRPr="00DC4AA0">
        <w:rPr>
          <w:rFonts w:ascii="Sylfaen" w:hAnsi="Sylfaen"/>
          <w:lang w:val="ka-GE"/>
        </w:rPr>
        <w:t xml:space="preserve"> წლისთვის - </w:t>
      </w:r>
      <w:r>
        <w:rPr>
          <w:rFonts w:ascii="Sylfaen" w:hAnsi="Sylfaen"/>
          <w:lang w:val="ka-GE"/>
        </w:rPr>
        <w:t>75</w:t>
      </w:r>
      <w:r w:rsidRPr="00DC4AA0">
        <w:rPr>
          <w:rFonts w:ascii="Sylfaen" w:hAnsi="Sylfaen"/>
          <w:lang w:val="ka-GE"/>
        </w:rPr>
        <w:t>%),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w:t>
      </w:r>
      <w:r>
        <w:rPr>
          <w:rFonts w:ascii="Sylfaen" w:hAnsi="Sylfaen"/>
          <w:lang w:val="ka-GE"/>
        </w:rPr>
        <w:t>3</w:t>
      </w:r>
      <w:r w:rsidRPr="00DC4AA0">
        <w:rPr>
          <w:rFonts w:ascii="Sylfaen" w:hAnsi="Sylfaen"/>
          <w:lang w:val="ka-GE"/>
        </w:rPr>
        <w:t>-202</w:t>
      </w:r>
      <w:r>
        <w:rPr>
          <w:rFonts w:ascii="Sylfaen" w:hAnsi="Sylfaen"/>
          <w:lang w:val="ka-GE"/>
        </w:rPr>
        <w:t>6</w:t>
      </w:r>
      <w:r w:rsidRPr="00DC4AA0">
        <w:rPr>
          <w:rFonts w:ascii="Sylfaen" w:hAnsi="Sylfaen"/>
          <w:lang w:val="ka-GE"/>
        </w:rPr>
        <w:t xml:space="preserve"> (</w:t>
      </w:r>
      <w:hyperlink r:id="rId9" w:history="1">
        <w:r w:rsidRPr="00DC4AA0">
          <w:rPr>
            <w:rStyle w:val="Hyperlink"/>
            <w:rFonts w:ascii="Sylfaen" w:hAnsi="Sylfaen"/>
            <w:lang w:val="ka-GE"/>
          </w:rPr>
          <w:t>https://mof.ge/5231</w:t>
        </w:r>
      </w:hyperlink>
      <w:r w:rsidRPr="00DC4AA0">
        <w:rPr>
          <w:rFonts w:ascii="Sylfaen" w:hAnsi="Sylfaen"/>
          <w:lang w:val="ka-GE"/>
        </w:rPr>
        <w:t>)</w:t>
      </w:r>
      <w:r w:rsidRPr="00DC4AA0">
        <w:rPr>
          <w:rFonts w:ascii="Sylfaen" w:hAnsi="Sylfaen"/>
        </w:rPr>
        <w:t xml:space="preserve"> </w:t>
      </w:r>
      <w:r w:rsidRPr="00DC4AA0">
        <w:rPr>
          <w:rFonts w:ascii="Sylfaen" w:hAnsi="Sylfaen"/>
          <w:lang w:val="ka-GE"/>
        </w:rPr>
        <w:t xml:space="preserve">ვალის მშპ-თან ფარდობის </w:t>
      </w:r>
      <w:r>
        <w:rPr>
          <w:rFonts w:ascii="Sylfaen" w:hAnsi="Sylfaen"/>
          <w:lang w:val="ka-GE"/>
        </w:rPr>
        <w:t>უსაფრთხო დონეზე შენარჩუნებასთან</w:t>
      </w:r>
      <w:r w:rsidRPr="00DC4AA0">
        <w:rPr>
          <w:rFonts w:ascii="Sylfaen" w:hAnsi="Sylfaen"/>
          <w:lang w:val="ka-GE"/>
        </w:rPr>
        <w:t xml:space="preserve"> ერთად, ორიენტირებულია მთლიან ვალში საგარეო ვალის წილის შემცირებაზე.</w:t>
      </w:r>
      <w:r>
        <w:rPr>
          <w:rFonts w:ascii="Sylfaen" w:hAnsi="Sylfaen"/>
          <w:lang w:val="ka-GE"/>
        </w:rPr>
        <w:t xml:space="preserve"> </w:t>
      </w:r>
    </w:p>
    <w:p w:rsidR="00D6431C" w:rsidRDefault="00D6431C" w:rsidP="004146A8">
      <w:pPr>
        <w:pStyle w:val="NoSpacing"/>
        <w:spacing w:line="276" w:lineRule="auto"/>
        <w:ind w:firstLine="720"/>
        <w:jc w:val="both"/>
        <w:rPr>
          <w:rFonts w:ascii="Sylfaen" w:hAnsi="Sylfaen"/>
          <w:lang w:val="ka-GE"/>
        </w:rPr>
      </w:pPr>
    </w:p>
    <w:sectPr w:rsidR="00D6431C" w:rsidSect="00AD4464">
      <w:pgSz w:w="12240" w:h="15840"/>
      <w:pgMar w:top="709" w:right="902" w:bottom="1134"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7" w:rsidRDefault="008C0627" w:rsidP="009F60D8">
      <w:pPr>
        <w:spacing w:after="0" w:line="240" w:lineRule="auto"/>
      </w:pPr>
      <w:r>
        <w:separator/>
      </w:r>
    </w:p>
  </w:endnote>
  <w:endnote w:type="continuationSeparator" w:id="0">
    <w:p w:rsidR="008C0627" w:rsidRDefault="008C0627"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04" w:rsidRDefault="00625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7" w:rsidRDefault="008C0627" w:rsidP="009F60D8">
      <w:pPr>
        <w:spacing w:after="0" w:line="240" w:lineRule="auto"/>
      </w:pPr>
      <w:r>
        <w:separator/>
      </w:r>
    </w:p>
  </w:footnote>
  <w:footnote w:type="continuationSeparator" w:id="0">
    <w:p w:rsidR="008C0627" w:rsidRDefault="008C0627"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4"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8"/>
  </w:num>
  <w:num w:numId="2">
    <w:abstractNumId w:val="0"/>
  </w:num>
  <w:num w:numId="3">
    <w:abstractNumId w:val="10"/>
  </w:num>
  <w:num w:numId="4">
    <w:abstractNumId w:val="21"/>
  </w:num>
  <w:num w:numId="5">
    <w:abstractNumId w:val="12"/>
  </w:num>
  <w:num w:numId="6">
    <w:abstractNumId w:val="2"/>
  </w:num>
  <w:num w:numId="7">
    <w:abstractNumId w:val="17"/>
  </w:num>
  <w:num w:numId="8">
    <w:abstractNumId w:val="4"/>
  </w:num>
  <w:num w:numId="9">
    <w:abstractNumId w:val="14"/>
  </w:num>
  <w:num w:numId="10">
    <w:abstractNumId w:val="6"/>
  </w:num>
  <w:num w:numId="11">
    <w:abstractNumId w:val="7"/>
  </w:num>
  <w:num w:numId="12">
    <w:abstractNumId w:val="16"/>
  </w:num>
  <w:num w:numId="13">
    <w:abstractNumId w:val="15"/>
  </w:num>
  <w:num w:numId="14">
    <w:abstractNumId w:val="1"/>
  </w:num>
  <w:num w:numId="15">
    <w:abstractNumId w:val="11"/>
  </w:num>
  <w:num w:numId="16">
    <w:abstractNumId w:val="3"/>
  </w:num>
  <w:num w:numId="17">
    <w:abstractNumId w:val="9"/>
  </w:num>
  <w:num w:numId="18">
    <w:abstractNumId w:val="13"/>
  </w:num>
  <w:num w:numId="19">
    <w:abstractNumId w:val="20"/>
  </w:num>
  <w:num w:numId="20">
    <w:abstractNumId w:val="19"/>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27E80"/>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9571F"/>
    <w:rsid w:val="001A228B"/>
    <w:rsid w:val="001A603A"/>
    <w:rsid w:val="001A6A94"/>
    <w:rsid w:val="001B0ADE"/>
    <w:rsid w:val="001B1BB4"/>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B7BCD"/>
    <w:rsid w:val="002C4CEA"/>
    <w:rsid w:val="002E1420"/>
    <w:rsid w:val="002E638F"/>
    <w:rsid w:val="002F1C52"/>
    <w:rsid w:val="002F2BC3"/>
    <w:rsid w:val="003048EB"/>
    <w:rsid w:val="00304B4F"/>
    <w:rsid w:val="00306448"/>
    <w:rsid w:val="00306D41"/>
    <w:rsid w:val="0030711A"/>
    <w:rsid w:val="00311AE3"/>
    <w:rsid w:val="00317572"/>
    <w:rsid w:val="00320B35"/>
    <w:rsid w:val="00322417"/>
    <w:rsid w:val="00332395"/>
    <w:rsid w:val="0033239E"/>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171E"/>
    <w:rsid w:val="003C22EC"/>
    <w:rsid w:val="003C3FC5"/>
    <w:rsid w:val="003D1E12"/>
    <w:rsid w:val="003D244E"/>
    <w:rsid w:val="003D36A8"/>
    <w:rsid w:val="003D380D"/>
    <w:rsid w:val="003D62EE"/>
    <w:rsid w:val="003D77D7"/>
    <w:rsid w:val="003E39B9"/>
    <w:rsid w:val="003E631B"/>
    <w:rsid w:val="003E78CE"/>
    <w:rsid w:val="003F0EA7"/>
    <w:rsid w:val="003F2DF1"/>
    <w:rsid w:val="003F4774"/>
    <w:rsid w:val="003F53B1"/>
    <w:rsid w:val="003F57B5"/>
    <w:rsid w:val="003F596F"/>
    <w:rsid w:val="004003C1"/>
    <w:rsid w:val="004025F5"/>
    <w:rsid w:val="00403068"/>
    <w:rsid w:val="00404E8F"/>
    <w:rsid w:val="0040580D"/>
    <w:rsid w:val="0041266C"/>
    <w:rsid w:val="0041284B"/>
    <w:rsid w:val="004146A8"/>
    <w:rsid w:val="0041719A"/>
    <w:rsid w:val="00420EC8"/>
    <w:rsid w:val="00422B46"/>
    <w:rsid w:val="00423421"/>
    <w:rsid w:val="0042677B"/>
    <w:rsid w:val="00431DB1"/>
    <w:rsid w:val="00436064"/>
    <w:rsid w:val="00444998"/>
    <w:rsid w:val="0044579A"/>
    <w:rsid w:val="00447EE1"/>
    <w:rsid w:val="004502DC"/>
    <w:rsid w:val="00452AC8"/>
    <w:rsid w:val="00453C2D"/>
    <w:rsid w:val="0045636A"/>
    <w:rsid w:val="00457F1D"/>
    <w:rsid w:val="004654A1"/>
    <w:rsid w:val="0046628B"/>
    <w:rsid w:val="00470304"/>
    <w:rsid w:val="00475FE9"/>
    <w:rsid w:val="00476074"/>
    <w:rsid w:val="00487C3E"/>
    <w:rsid w:val="0049650A"/>
    <w:rsid w:val="004A22FD"/>
    <w:rsid w:val="004A237E"/>
    <w:rsid w:val="004A2ACF"/>
    <w:rsid w:val="004A2ED7"/>
    <w:rsid w:val="004A68C1"/>
    <w:rsid w:val="004B0157"/>
    <w:rsid w:val="004B6710"/>
    <w:rsid w:val="004B6789"/>
    <w:rsid w:val="004C485C"/>
    <w:rsid w:val="004D1FDB"/>
    <w:rsid w:val="004D54B1"/>
    <w:rsid w:val="004E4CDA"/>
    <w:rsid w:val="004E4D8F"/>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6D09"/>
    <w:rsid w:val="005A7824"/>
    <w:rsid w:val="005B1C09"/>
    <w:rsid w:val="005B365D"/>
    <w:rsid w:val="005C3422"/>
    <w:rsid w:val="005C3DED"/>
    <w:rsid w:val="005C49CA"/>
    <w:rsid w:val="005C64F7"/>
    <w:rsid w:val="005C6650"/>
    <w:rsid w:val="005C7DFB"/>
    <w:rsid w:val="005D79EB"/>
    <w:rsid w:val="005E0AEF"/>
    <w:rsid w:val="005E18E6"/>
    <w:rsid w:val="005E1D74"/>
    <w:rsid w:val="005E435E"/>
    <w:rsid w:val="005F2DAC"/>
    <w:rsid w:val="005F4177"/>
    <w:rsid w:val="006004B7"/>
    <w:rsid w:val="00600756"/>
    <w:rsid w:val="00606701"/>
    <w:rsid w:val="0061130B"/>
    <w:rsid w:val="006126AE"/>
    <w:rsid w:val="00625504"/>
    <w:rsid w:val="006331BA"/>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6BD0"/>
    <w:rsid w:val="006B2766"/>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3343E"/>
    <w:rsid w:val="00734817"/>
    <w:rsid w:val="0073665F"/>
    <w:rsid w:val="007366C4"/>
    <w:rsid w:val="00741617"/>
    <w:rsid w:val="00743CA7"/>
    <w:rsid w:val="0074751F"/>
    <w:rsid w:val="007656A6"/>
    <w:rsid w:val="007716A2"/>
    <w:rsid w:val="00773D36"/>
    <w:rsid w:val="00776610"/>
    <w:rsid w:val="00781209"/>
    <w:rsid w:val="00782ECE"/>
    <w:rsid w:val="00782ED6"/>
    <w:rsid w:val="00785FB9"/>
    <w:rsid w:val="00787302"/>
    <w:rsid w:val="00795AE8"/>
    <w:rsid w:val="00795DE8"/>
    <w:rsid w:val="007A37DE"/>
    <w:rsid w:val="007B0F7D"/>
    <w:rsid w:val="007B6B22"/>
    <w:rsid w:val="007B6E63"/>
    <w:rsid w:val="007C687D"/>
    <w:rsid w:val="007D46C3"/>
    <w:rsid w:val="007D6F01"/>
    <w:rsid w:val="007D7CE4"/>
    <w:rsid w:val="007E09D9"/>
    <w:rsid w:val="007E4307"/>
    <w:rsid w:val="007E4635"/>
    <w:rsid w:val="007E4D42"/>
    <w:rsid w:val="007E59A3"/>
    <w:rsid w:val="007E72AE"/>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23CC1"/>
    <w:rsid w:val="008304A5"/>
    <w:rsid w:val="0083288A"/>
    <w:rsid w:val="00836FD1"/>
    <w:rsid w:val="0084099F"/>
    <w:rsid w:val="00840E81"/>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0627"/>
    <w:rsid w:val="008C1EB7"/>
    <w:rsid w:val="008C5E23"/>
    <w:rsid w:val="008C666C"/>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66C5"/>
    <w:rsid w:val="00931509"/>
    <w:rsid w:val="009348D2"/>
    <w:rsid w:val="00936CC0"/>
    <w:rsid w:val="00936FE4"/>
    <w:rsid w:val="009436DF"/>
    <w:rsid w:val="00945392"/>
    <w:rsid w:val="0094642B"/>
    <w:rsid w:val="00952986"/>
    <w:rsid w:val="009610BF"/>
    <w:rsid w:val="009615ED"/>
    <w:rsid w:val="009653F7"/>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18F3"/>
    <w:rsid w:val="009B2991"/>
    <w:rsid w:val="009B3A95"/>
    <w:rsid w:val="009B5D57"/>
    <w:rsid w:val="009C03FF"/>
    <w:rsid w:val="009C4B89"/>
    <w:rsid w:val="009C50FE"/>
    <w:rsid w:val="009C5631"/>
    <w:rsid w:val="009C683F"/>
    <w:rsid w:val="009D32A7"/>
    <w:rsid w:val="009D41D3"/>
    <w:rsid w:val="009D6C89"/>
    <w:rsid w:val="009E000E"/>
    <w:rsid w:val="009F16D1"/>
    <w:rsid w:val="009F60D8"/>
    <w:rsid w:val="00A011F3"/>
    <w:rsid w:val="00A05BA2"/>
    <w:rsid w:val="00A10126"/>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76637"/>
    <w:rsid w:val="00A816E3"/>
    <w:rsid w:val="00A83EF8"/>
    <w:rsid w:val="00A84CB2"/>
    <w:rsid w:val="00A8567C"/>
    <w:rsid w:val="00A97679"/>
    <w:rsid w:val="00AA36AE"/>
    <w:rsid w:val="00AA4676"/>
    <w:rsid w:val="00AA5368"/>
    <w:rsid w:val="00AA5788"/>
    <w:rsid w:val="00AB3CC0"/>
    <w:rsid w:val="00AC2672"/>
    <w:rsid w:val="00AD4464"/>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36E09"/>
    <w:rsid w:val="00B429B2"/>
    <w:rsid w:val="00B43B65"/>
    <w:rsid w:val="00B453B3"/>
    <w:rsid w:val="00B50D9C"/>
    <w:rsid w:val="00B609ED"/>
    <w:rsid w:val="00B61517"/>
    <w:rsid w:val="00B652A8"/>
    <w:rsid w:val="00B6704B"/>
    <w:rsid w:val="00B82ABB"/>
    <w:rsid w:val="00B84101"/>
    <w:rsid w:val="00B92C40"/>
    <w:rsid w:val="00B94BE7"/>
    <w:rsid w:val="00B967E4"/>
    <w:rsid w:val="00BA1519"/>
    <w:rsid w:val="00BA1C51"/>
    <w:rsid w:val="00BA22ED"/>
    <w:rsid w:val="00BA30E0"/>
    <w:rsid w:val="00BA3346"/>
    <w:rsid w:val="00BA4E78"/>
    <w:rsid w:val="00BB52EE"/>
    <w:rsid w:val="00BC3B7E"/>
    <w:rsid w:val="00BC4B17"/>
    <w:rsid w:val="00BC68CE"/>
    <w:rsid w:val="00BC7AD9"/>
    <w:rsid w:val="00BD44EC"/>
    <w:rsid w:val="00BD48B6"/>
    <w:rsid w:val="00BD6FDA"/>
    <w:rsid w:val="00BE1861"/>
    <w:rsid w:val="00BE1E58"/>
    <w:rsid w:val="00BE4CE5"/>
    <w:rsid w:val="00BF167C"/>
    <w:rsid w:val="00BF1E77"/>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495D"/>
    <w:rsid w:val="00CF227E"/>
    <w:rsid w:val="00CF6B03"/>
    <w:rsid w:val="00CF7B45"/>
    <w:rsid w:val="00D04BEA"/>
    <w:rsid w:val="00D07174"/>
    <w:rsid w:val="00D07BAA"/>
    <w:rsid w:val="00D145C2"/>
    <w:rsid w:val="00D20043"/>
    <w:rsid w:val="00D224EE"/>
    <w:rsid w:val="00D26B98"/>
    <w:rsid w:val="00D26E10"/>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302B"/>
    <w:rsid w:val="00D75C72"/>
    <w:rsid w:val="00D779C4"/>
    <w:rsid w:val="00D82BCE"/>
    <w:rsid w:val="00D833FB"/>
    <w:rsid w:val="00D83A99"/>
    <w:rsid w:val="00D900D0"/>
    <w:rsid w:val="00D968E5"/>
    <w:rsid w:val="00DB125E"/>
    <w:rsid w:val="00DB2104"/>
    <w:rsid w:val="00DB346B"/>
    <w:rsid w:val="00DB3C65"/>
    <w:rsid w:val="00DB5F9F"/>
    <w:rsid w:val="00DB7553"/>
    <w:rsid w:val="00DC16C2"/>
    <w:rsid w:val="00DC424F"/>
    <w:rsid w:val="00DD4221"/>
    <w:rsid w:val="00DD6076"/>
    <w:rsid w:val="00DD6CB2"/>
    <w:rsid w:val="00DD7BF5"/>
    <w:rsid w:val="00DE1017"/>
    <w:rsid w:val="00DE190D"/>
    <w:rsid w:val="00DE37E7"/>
    <w:rsid w:val="00DF3087"/>
    <w:rsid w:val="00DF5464"/>
    <w:rsid w:val="00DF75A5"/>
    <w:rsid w:val="00E013DA"/>
    <w:rsid w:val="00E07F4F"/>
    <w:rsid w:val="00E10315"/>
    <w:rsid w:val="00E124CF"/>
    <w:rsid w:val="00E12BA0"/>
    <w:rsid w:val="00E13B75"/>
    <w:rsid w:val="00E13F52"/>
    <w:rsid w:val="00E21921"/>
    <w:rsid w:val="00E220C5"/>
    <w:rsid w:val="00E23D8E"/>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670"/>
    <w:rsid w:val="00EC7B3F"/>
    <w:rsid w:val="00ED33D9"/>
    <w:rsid w:val="00ED510A"/>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67A4D"/>
    <w:rsid w:val="00F761BC"/>
    <w:rsid w:val="00F76DFF"/>
    <w:rsid w:val="00F844D7"/>
    <w:rsid w:val="00F923C5"/>
    <w:rsid w:val="00F923FA"/>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E71B6"/>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045330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7334720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958947944">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26397551">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04369112">
      <w:bodyDiv w:val="1"/>
      <w:marLeft w:val="0"/>
      <w:marRight w:val="0"/>
      <w:marTop w:val="0"/>
      <w:marBottom w:val="0"/>
      <w:divBdr>
        <w:top w:val="none" w:sz="0" w:space="0" w:color="auto"/>
        <w:left w:val="none" w:sz="0" w:space="0" w:color="auto"/>
        <w:bottom w:val="none" w:sz="0" w:space="0" w:color="auto"/>
        <w:right w:val="none" w:sz="0" w:space="0" w:color="auto"/>
      </w:divBdr>
    </w:div>
    <w:div w:id="1921870551">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1998143883">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6559385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f.ge/5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2E87-83E5-4B15-9EF7-26266AF7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14</Pages>
  <Words>5171</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22</cp:revision>
  <cp:lastPrinted>2023-07-07T11:09:00Z</cp:lastPrinted>
  <dcterms:created xsi:type="dcterms:W3CDTF">2023-07-05T14:22:00Z</dcterms:created>
  <dcterms:modified xsi:type="dcterms:W3CDTF">2023-07-07T11:11:00Z</dcterms:modified>
</cp:coreProperties>
</file>